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70D722">
      <w:pPr>
        <w:jc w:val="center"/>
        <w:rPr>
          <w:rFonts w:hint="eastAsia"/>
          <w:b/>
          <w:bCs/>
          <w:sz w:val="44"/>
          <w:szCs w:val="44"/>
          <w:lang w:eastAsia="zh-CN"/>
        </w:rPr>
      </w:pPr>
      <w:r>
        <w:rPr>
          <w:rFonts w:hint="eastAsia"/>
          <w:b/>
          <w:bCs/>
          <w:sz w:val="44"/>
          <w:szCs w:val="44"/>
          <w:lang w:eastAsia="zh-CN"/>
        </w:rPr>
        <w:t>大柴旦海通矿业有限公司</w:t>
      </w:r>
    </w:p>
    <w:p w14:paraId="34274AC5">
      <w:pPr>
        <w:jc w:val="center"/>
        <w:rPr>
          <w:rFonts w:hint="eastAsia"/>
          <w:b/>
          <w:bCs/>
          <w:sz w:val="44"/>
          <w:szCs w:val="44"/>
          <w:lang w:eastAsia="zh-CN"/>
        </w:rPr>
      </w:pPr>
      <w:r>
        <w:rPr>
          <w:rFonts w:hint="eastAsia"/>
          <w:b/>
          <w:bCs/>
          <w:sz w:val="44"/>
          <w:szCs w:val="44"/>
          <w:lang w:eastAsia="zh-CN"/>
        </w:rPr>
        <w:t>环境信息公示</w:t>
      </w:r>
    </w:p>
    <w:p w14:paraId="6E7C83B9">
      <w:pPr>
        <w:numPr>
          <w:ilvl w:val="0"/>
          <w:numId w:val="0"/>
        </w:numPr>
        <w:jc w:val="both"/>
        <w:rPr>
          <w:rFonts w:hint="eastAsia" w:asciiTheme="minorHAnsi" w:hAnsiTheme="minorHAnsi" w:eastAsiaTheme="minorEastAsia" w:cstheme="minorBidi"/>
          <w:b/>
          <w:bCs/>
          <w:kern w:val="2"/>
          <w:sz w:val="30"/>
          <w:szCs w:val="30"/>
          <w:lang w:val="en-US" w:eastAsia="zh-CN" w:bidi="ar-SA"/>
        </w:rPr>
      </w:pPr>
    </w:p>
    <w:p w14:paraId="2374E334">
      <w:pPr>
        <w:numPr>
          <w:ilvl w:val="0"/>
          <w:numId w:val="0"/>
        </w:numPr>
        <w:ind w:firstLine="602" w:firstLineChars="200"/>
        <w:jc w:val="both"/>
        <w:rPr>
          <w:rFonts w:hint="eastAsia"/>
          <w:b/>
          <w:bCs/>
          <w:sz w:val="30"/>
          <w:szCs w:val="30"/>
          <w:lang w:eastAsia="zh-CN"/>
        </w:rPr>
      </w:pPr>
      <w:r>
        <w:rPr>
          <w:rFonts w:hint="eastAsia" w:asciiTheme="minorHAnsi" w:hAnsiTheme="minorHAnsi" w:eastAsiaTheme="minorEastAsia" w:cstheme="minorBidi"/>
          <w:b/>
          <w:bCs/>
          <w:kern w:val="2"/>
          <w:sz w:val="30"/>
          <w:szCs w:val="30"/>
          <w:lang w:val="en-US" w:eastAsia="zh-CN" w:bidi="ar-SA"/>
        </w:rPr>
        <w:t>一、</w:t>
      </w:r>
      <w:r>
        <w:rPr>
          <w:rFonts w:hint="eastAsia"/>
          <w:b/>
          <w:bCs/>
          <w:sz w:val="30"/>
          <w:szCs w:val="30"/>
          <w:lang w:eastAsia="zh-CN"/>
        </w:rPr>
        <w:t>企业基础信息</w:t>
      </w:r>
    </w:p>
    <w:p w14:paraId="47F3210D">
      <w:pPr>
        <w:numPr>
          <w:ilvl w:val="0"/>
          <w:numId w:val="0"/>
        </w:numPr>
        <w:ind w:firstLine="600" w:firstLineChars="200"/>
        <w:jc w:val="both"/>
        <w:rPr>
          <w:rFonts w:hint="eastAsia"/>
          <w:b w:val="0"/>
          <w:bCs w:val="0"/>
          <w:sz w:val="30"/>
          <w:szCs w:val="30"/>
          <w:lang w:eastAsia="zh-CN"/>
        </w:rPr>
      </w:pPr>
      <w:r>
        <w:rPr>
          <w:rFonts w:hint="eastAsia"/>
          <w:b w:val="0"/>
          <w:bCs w:val="0"/>
          <w:sz w:val="30"/>
          <w:szCs w:val="30"/>
          <w:lang w:eastAsia="zh-CN"/>
        </w:rPr>
        <w:t>（一）企业名称：大柴旦海通矿业有限公司</w:t>
      </w:r>
    </w:p>
    <w:p w14:paraId="5A70BC80">
      <w:pPr>
        <w:numPr>
          <w:ilvl w:val="0"/>
          <w:numId w:val="0"/>
        </w:numPr>
        <w:ind w:firstLine="600" w:firstLineChars="200"/>
        <w:jc w:val="both"/>
        <w:rPr>
          <w:rFonts w:hint="eastAsia"/>
          <w:b w:val="0"/>
          <w:bCs w:val="0"/>
          <w:sz w:val="30"/>
          <w:szCs w:val="30"/>
          <w:lang w:val="en-US" w:eastAsia="zh-CN"/>
        </w:rPr>
      </w:pPr>
      <w:r>
        <w:rPr>
          <w:rFonts w:hint="eastAsia"/>
          <w:b w:val="0"/>
          <w:bCs w:val="0"/>
          <w:sz w:val="30"/>
          <w:szCs w:val="30"/>
          <w:lang w:eastAsia="zh-CN"/>
        </w:rPr>
        <w:t>（二）统一社会信用代码：</w:t>
      </w:r>
      <w:r>
        <w:rPr>
          <w:rFonts w:hint="eastAsia"/>
          <w:b w:val="0"/>
          <w:bCs w:val="0"/>
          <w:sz w:val="30"/>
          <w:szCs w:val="30"/>
          <w:lang w:val="en-US" w:eastAsia="zh-CN"/>
        </w:rPr>
        <w:t>916328247574087105</w:t>
      </w:r>
    </w:p>
    <w:p w14:paraId="29F7BCC6">
      <w:pPr>
        <w:numPr>
          <w:ilvl w:val="0"/>
          <w:numId w:val="0"/>
        </w:numPr>
        <w:ind w:firstLine="600" w:firstLineChars="200"/>
        <w:jc w:val="both"/>
        <w:rPr>
          <w:rFonts w:hint="eastAsia"/>
          <w:b w:val="0"/>
          <w:bCs w:val="0"/>
          <w:sz w:val="30"/>
          <w:szCs w:val="30"/>
          <w:lang w:val="en-US" w:eastAsia="zh-CN"/>
        </w:rPr>
      </w:pPr>
      <w:r>
        <w:rPr>
          <w:rFonts w:hint="eastAsia"/>
          <w:b w:val="0"/>
          <w:bCs w:val="0"/>
          <w:sz w:val="30"/>
          <w:szCs w:val="30"/>
          <w:lang w:val="en-US" w:eastAsia="zh-CN"/>
        </w:rPr>
        <w:t>（三）法定代表人：赵传立</w:t>
      </w:r>
    </w:p>
    <w:p w14:paraId="28D5FCA3">
      <w:pPr>
        <w:numPr>
          <w:ilvl w:val="0"/>
          <w:numId w:val="0"/>
        </w:numPr>
        <w:ind w:firstLine="600" w:firstLineChars="200"/>
        <w:jc w:val="both"/>
        <w:rPr>
          <w:rFonts w:hint="eastAsia"/>
          <w:b w:val="0"/>
          <w:bCs w:val="0"/>
          <w:sz w:val="30"/>
          <w:szCs w:val="30"/>
          <w:lang w:val="en-US" w:eastAsia="zh-CN"/>
        </w:rPr>
      </w:pPr>
      <w:r>
        <w:rPr>
          <w:rFonts w:hint="eastAsia"/>
          <w:b w:val="0"/>
          <w:bCs w:val="0"/>
          <w:sz w:val="30"/>
          <w:szCs w:val="30"/>
          <w:lang w:val="en-US" w:eastAsia="zh-CN"/>
        </w:rPr>
        <w:t>（四）环保负责人及联系方式：王义刚  18997003212</w:t>
      </w:r>
    </w:p>
    <w:p w14:paraId="7486BC79">
      <w:pPr>
        <w:numPr>
          <w:ilvl w:val="0"/>
          <w:numId w:val="0"/>
        </w:numPr>
        <w:ind w:firstLine="600" w:firstLineChars="200"/>
        <w:jc w:val="both"/>
        <w:rPr>
          <w:rFonts w:hint="eastAsia"/>
          <w:b w:val="0"/>
          <w:bCs w:val="0"/>
          <w:sz w:val="30"/>
          <w:szCs w:val="30"/>
          <w:lang w:val="en-US" w:eastAsia="zh-CN"/>
        </w:rPr>
      </w:pPr>
      <w:r>
        <w:rPr>
          <w:rFonts w:hint="eastAsia"/>
          <w:b w:val="0"/>
          <w:bCs w:val="0"/>
          <w:sz w:val="30"/>
          <w:szCs w:val="30"/>
          <w:lang w:val="en-US" w:eastAsia="zh-CN"/>
        </w:rPr>
        <w:t>（五）主要产品及产能：工业氧化硼  年产5000吨</w:t>
      </w:r>
    </w:p>
    <w:p w14:paraId="5E384AC4">
      <w:pPr>
        <w:numPr>
          <w:ilvl w:val="0"/>
          <w:numId w:val="0"/>
        </w:numPr>
        <w:ind w:firstLine="600" w:firstLineChars="200"/>
        <w:jc w:val="both"/>
        <w:rPr>
          <w:rFonts w:hint="eastAsia"/>
          <w:b w:val="0"/>
          <w:bCs w:val="0"/>
          <w:sz w:val="30"/>
          <w:szCs w:val="30"/>
          <w:lang w:val="en-US" w:eastAsia="zh-CN"/>
        </w:rPr>
      </w:pPr>
      <w:r>
        <w:rPr>
          <w:rFonts w:hint="eastAsia"/>
          <w:b w:val="0"/>
          <w:bCs w:val="0"/>
          <w:sz w:val="30"/>
          <w:szCs w:val="30"/>
          <w:lang w:val="en-US" w:eastAsia="zh-CN"/>
        </w:rPr>
        <w:t>（六）生产经营状况：正常经营</w:t>
      </w:r>
    </w:p>
    <w:p w14:paraId="4F426AE1">
      <w:pPr>
        <w:numPr>
          <w:ilvl w:val="0"/>
          <w:numId w:val="0"/>
        </w:numPr>
        <w:ind w:firstLine="600" w:firstLineChars="200"/>
        <w:jc w:val="both"/>
        <w:rPr>
          <w:rFonts w:hint="eastAsia"/>
          <w:b w:val="0"/>
          <w:bCs w:val="0"/>
          <w:sz w:val="30"/>
          <w:szCs w:val="30"/>
          <w:lang w:val="en-US" w:eastAsia="zh-CN"/>
        </w:rPr>
      </w:pPr>
      <w:r>
        <w:rPr>
          <w:rFonts w:hint="eastAsia"/>
          <w:b w:val="0"/>
          <w:bCs w:val="0"/>
          <w:sz w:val="30"/>
          <w:szCs w:val="30"/>
          <w:lang w:val="en-US" w:eastAsia="zh-CN"/>
        </w:rPr>
        <w:t>（七）生产经营地址：青海省海西州大柴旦镇硼化工业园区</w:t>
      </w:r>
    </w:p>
    <w:p w14:paraId="74277BA4">
      <w:pPr>
        <w:numPr>
          <w:ilvl w:val="0"/>
          <w:numId w:val="0"/>
        </w:numPr>
        <w:ind w:firstLine="600" w:firstLineChars="200"/>
        <w:jc w:val="both"/>
        <w:rPr>
          <w:rFonts w:hint="eastAsia"/>
          <w:b w:val="0"/>
          <w:bCs w:val="0"/>
          <w:sz w:val="30"/>
          <w:szCs w:val="30"/>
          <w:lang w:val="en-US" w:eastAsia="zh-CN"/>
        </w:rPr>
      </w:pPr>
      <w:r>
        <w:rPr>
          <w:rFonts w:hint="eastAsia"/>
          <w:b w:val="0"/>
          <w:bCs w:val="0"/>
          <w:sz w:val="30"/>
          <w:szCs w:val="30"/>
          <w:lang w:val="en-US" w:eastAsia="zh-CN"/>
        </w:rPr>
        <w:t>（八）行业类别：无机酸制造</w:t>
      </w:r>
    </w:p>
    <w:p w14:paraId="712C3D75">
      <w:pPr>
        <w:numPr>
          <w:ilvl w:val="0"/>
          <w:numId w:val="0"/>
        </w:numPr>
        <w:ind w:firstLine="602" w:firstLineChars="200"/>
        <w:jc w:val="both"/>
        <w:rPr>
          <w:rFonts w:hint="eastAsia"/>
          <w:b/>
          <w:bCs/>
          <w:sz w:val="30"/>
          <w:szCs w:val="30"/>
          <w:lang w:val="en-US" w:eastAsia="zh-CN"/>
        </w:rPr>
      </w:pPr>
      <w:r>
        <w:rPr>
          <w:rFonts w:hint="eastAsia"/>
          <w:b/>
          <w:bCs/>
          <w:sz w:val="30"/>
          <w:szCs w:val="30"/>
          <w:lang w:val="en-US" w:eastAsia="zh-CN"/>
        </w:rPr>
        <w:t>二、企业环境管理信息</w:t>
      </w:r>
    </w:p>
    <w:p w14:paraId="60EFD249">
      <w:pPr>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eastAsia="zh-CN"/>
        </w:rPr>
        <w:t>（一）排污许可</w:t>
      </w:r>
      <w:r>
        <w:rPr>
          <w:rFonts w:hint="eastAsia" w:ascii="宋体" w:hAnsi="宋体" w:eastAsia="宋体" w:cs="宋体"/>
          <w:b w:val="0"/>
          <w:bCs w:val="0"/>
          <w:sz w:val="30"/>
          <w:szCs w:val="30"/>
          <w:lang w:val="en-US" w:eastAsia="zh-CN"/>
        </w:rPr>
        <w:t>:发证日期：2026年02月03日，有效期限：自2026年02月03日起至2031年02月02日，证书编号：91632824757408710500IV.</w:t>
      </w:r>
    </w:p>
    <w:p w14:paraId="54831D41">
      <w:pPr>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（二）环保设施：酸雾吸收装置一套；布袋除尘器、多管除尘+水浴一套。</w:t>
      </w:r>
    </w:p>
    <w:p w14:paraId="49D16E40">
      <w:pPr>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（三）环保管理机构：公司环保科，环保责任人：王义刚</w:t>
      </w:r>
    </w:p>
    <w:p w14:paraId="09B7ADF9">
      <w:pPr>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（四）环保制度：废水监测管理制度  噪声监测管理制度   废气、粉尘  环境宣传教育和培训管理制度  环境保护管理台账管理制度  环保设施检查制度  环保监督员制度  环保设施运行管理制度  环境应急报告制度</w:t>
      </w:r>
    </w:p>
    <w:p w14:paraId="4685C6A2">
      <w:pPr>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委托检测机构名称：青海华研检测有限公司</w:t>
      </w:r>
    </w:p>
    <w:p w14:paraId="07350771">
      <w:pPr>
        <w:numPr>
          <w:ilvl w:val="0"/>
          <w:numId w:val="0"/>
        </w:numPr>
        <w:ind w:left="0" w:leftChars="0" w:firstLine="602" w:firstLineChars="200"/>
        <w:jc w:val="both"/>
        <w:rPr>
          <w:rFonts w:hint="eastAsia" w:ascii="宋体" w:hAnsi="宋体" w:eastAsia="宋体" w:cs="宋体"/>
          <w:b/>
          <w:bCs/>
          <w:sz w:val="30"/>
          <w:szCs w:val="30"/>
          <w:lang w:val="en-US" w:eastAsia="zh-CN"/>
        </w:rPr>
      </w:pPr>
      <w:r>
        <w:rPr>
          <w:rFonts w:hint="eastAsia" w:ascii="宋体" w:hAnsi="宋体" w:eastAsia="宋体" w:cs="宋体"/>
          <w:b/>
          <w:bCs/>
          <w:kern w:val="2"/>
          <w:sz w:val="30"/>
          <w:szCs w:val="30"/>
          <w:lang w:val="en-US" w:eastAsia="zh-CN" w:bidi="ar-SA"/>
        </w:rPr>
        <w:t>三、</w:t>
      </w:r>
      <w:r>
        <w:rPr>
          <w:rFonts w:hint="eastAsia" w:ascii="宋体" w:hAnsi="宋体" w:eastAsia="宋体" w:cs="宋体"/>
          <w:b/>
          <w:bCs/>
          <w:sz w:val="30"/>
          <w:szCs w:val="30"/>
          <w:lang w:val="en-US" w:eastAsia="zh-CN"/>
        </w:rPr>
        <w:t>生产工艺及环境风险点</w:t>
      </w:r>
    </w:p>
    <w:p w14:paraId="664A687A">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（一）</w:t>
      </w:r>
      <w:r>
        <w:rPr>
          <w:rFonts w:hint="eastAsia" w:ascii="宋体" w:hAnsi="宋体" w:eastAsia="宋体" w:cs="宋体"/>
          <w:b w:val="0"/>
          <w:bCs w:val="0"/>
          <w:kern w:val="2"/>
          <w:sz w:val="30"/>
          <w:szCs w:val="30"/>
          <w:lang w:val="en-US" w:eastAsia="zh-CN" w:bidi="ar-SA"/>
        </w:rPr>
        <w:t>生产工艺</w:t>
      </w:r>
    </w:p>
    <w:p w14:paraId="6DC1EC2F">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default" w:ascii="宋体" w:hAnsi="宋体" w:eastAsia="宋体" w:cs="宋体"/>
          <w:b w:val="0"/>
          <w:bCs w:val="0"/>
          <w:kern w:val="2"/>
          <w:sz w:val="30"/>
          <w:szCs w:val="30"/>
          <w:lang w:val="en-US" w:eastAsia="zh-CN" w:bidi="ar-SA"/>
        </w:rPr>
        <w:t>硼镁矿或者硼镁复盐和生产母液按照一定比例配成料浆在酸解罐中加入93%的工业硫酸，硫酸和原料中的镁钙反应生成硫酸镁和硫酸钙，此时氧化硼从硼镁矿或硼镁盐溶解到液相中。把反应好的料浆通入蒸汽加热最高至摄氏80℃，控制温度和PH值，保证生成氧化硼。然后将反应好的物料送到压滤单元，通过板框压滤机进行固液分离，控制分离出来的液相氧化硼达到饱和度而硫酸镁远远小于饱和度。分离出来的液相工艺上称作压滤液，把压滤液送到结晶单元冷却降温到合适的温度，通过降温氧化硼过饱和部分就结晶析出，用离心机分离出氧化硼晶体。氧化硼晶体含有三个结晶水，和4-6%的游离水，通过干燥机在80-120℃下进行烘干烘干掉游离水，得到氧化硼产品。离心机分离出的液相称作母液，母液送往硫酸镁结晶器继续深度冷却到一定温度，母液中的大部分硫酸镁和少量的三水氧化硼同时结晶，到达结晶终点的母液送到浮选机中，根据氧化硼和硫酸镁的晶型的差异，进行无药剂重力浮选，硫酸镁晶型较大送浮选机的下部进入硫酸镁离心机，进行固液分离，固相部分即为硫酸镁半成品，可以直接入库销售，或者烘干后销售，氧化硼晶型为微小颗粒结晶，通过输送进入酸解工序循环利用，硫酸镁离心机分离出的液相部分，也进入酸解工序，做配料使用。至此实现整个工艺闭合。</w:t>
      </w:r>
    </w:p>
    <w:p w14:paraId="7E04ACE0">
      <w:pPr>
        <w:widowControl w:val="0"/>
        <w:numPr>
          <w:ilvl w:val="0"/>
          <w:numId w:val="0"/>
        </w:numPr>
        <w:ind w:left="300" w:leftChars="0" w:firstLine="0" w:firstLineChars="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（二）环境风险点</w:t>
      </w:r>
    </w:p>
    <w:p w14:paraId="64EB58CE">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1.废水环境风险</w:t>
      </w:r>
    </w:p>
    <w:p w14:paraId="0BA3049A">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本工艺中废水不外排，重复利用。</w:t>
      </w:r>
    </w:p>
    <w:p w14:paraId="76ACD1E6">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2.废气环境风险</w:t>
      </w:r>
    </w:p>
    <w:p w14:paraId="039EE32C">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（1）酸解放热，挥发硫酸雾、酸性废气，腐蚀周边设备、污染大气、腐蚀植被。</w:t>
      </w:r>
    </w:p>
    <w:p w14:paraId="590FF358">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（2）颗粒物是影响大气环境最直接、最广泛的污染物。</w:t>
      </w:r>
    </w:p>
    <w:p w14:paraId="75CCA752">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防控及应急措施：</w:t>
      </w:r>
    </w:p>
    <w:p w14:paraId="494126AA">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废气（硫酸雾）通过酸雾吸收装置有组织排放后重复利用。</w:t>
      </w:r>
    </w:p>
    <w:p w14:paraId="7BC0D7D7">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废气 （颗粒物）通过</w:t>
      </w:r>
      <w:r>
        <w:rPr>
          <w:rFonts w:hint="eastAsia" w:ascii="宋体" w:hAnsi="宋体" w:eastAsia="宋体" w:cs="宋体"/>
          <w:b w:val="0"/>
          <w:bCs w:val="0"/>
          <w:sz w:val="30"/>
          <w:szCs w:val="30"/>
          <w:lang w:val="en-US" w:eastAsia="zh-CN"/>
        </w:rPr>
        <w:t>布袋除尘器、多管除尘+水浴进行除尘，</w:t>
      </w:r>
      <w:r>
        <w:rPr>
          <w:rFonts w:hint="eastAsia" w:ascii="宋体" w:hAnsi="宋体" w:eastAsia="宋体" w:cs="宋体"/>
          <w:b w:val="0"/>
          <w:bCs w:val="0"/>
          <w:kern w:val="2"/>
          <w:sz w:val="30"/>
          <w:szCs w:val="30"/>
          <w:lang w:val="en-US" w:eastAsia="zh-CN" w:bidi="ar-SA"/>
        </w:rPr>
        <w:t>颗粒物</w:t>
      </w:r>
      <w:r>
        <w:rPr>
          <w:rFonts w:hint="eastAsia" w:ascii="宋体" w:hAnsi="宋体" w:eastAsia="宋体" w:cs="宋体"/>
          <w:b w:val="0"/>
          <w:bCs w:val="0"/>
          <w:sz w:val="30"/>
          <w:szCs w:val="30"/>
          <w:lang w:val="en-US" w:eastAsia="zh-CN"/>
        </w:rPr>
        <w:t>由青海华研检测有限公司检测后达标排放。</w:t>
      </w:r>
    </w:p>
    <w:p w14:paraId="24167F7A">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3.固体废物环境风险</w:t>
      </w:r>
    </w:p>
    <w:p w14:paraId="55FB1A5C">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一般工业固体废物（硼泥），含残留硼、酸性物资，乱堆会淋溶污染水土。</w:t>
      </w:r>
    </w:p>
    <w:p w14:paraId="53EBD9AE">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防控及应急措施：</w:t>
      </w:r>
    </w:p>
    <w:p w14:paraId="5E0D40FF">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产生的硼泥自行贮存至硼泥贮存库，按照可行性报告结论，委托综合利用（铺路、建材）。</w:t>
      </w:r>
    </w:p>
    <w:p w14:paraId="79882F56">
      <w:pPr>
        <w:widowControl w:val="0"/>
        <w:numPr>
          <w:ilvl w:val="0"/>
          <w:numId w:val="0"/>
        </w:numPr>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硼泥贮存库铺设防腐、防渗膜等防渗材料，构筑导流槽、应急池等。</w:t>
      </w:r>
    </w:p>
    <w:p w14:paraId="5CCD64A4">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4.土壤与地下水风险</w:t>
      </w:r>
    </w:p>
    <w:p w14:paraId="2664D256">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硫酸储存区、酸解车间防渗破损，硫酸渗透直接酸化土壤、地下水。</w:t>
      </w:r>
    </w:p>
    <w:p w14:paraId="3EFD3D0A">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硼泥堆场未防渗，雨水冲刷硼、硫酸盐长期下渗，造成地下水硼超标。</w:t>
      </w:r>
    </w:p>
    <w:p w14:paraId="1344BBB8">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氧化硼库房受潮水解，酸性含硼渗滤液下渗。</w:t>
      </w:r>
    </w:p>
    <w:p w14:paraId="07D09F71">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防控及应急措施：</w:t>
      </w:r>
    </w:p>
    <w:p w14:paraId="6022F57B">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巡回并详细检查硫酸储存区、酸解车间防渗工作，发现防渗材料破损，立即进行更换。</w:t>
      </w:r>
    </w:p>
    <w:p w14:paraId="7F65B944">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生产中产生的矿渣（硼泥）立即使运往硼泥贮存库进行贮存。</w:t>
      </w:r>
    </w:p>
    <w:p w14:paraId="3A4D5FC1">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氧化硼库房经常保持干燥，严防受潮水解。</w:t>
      </w:r>
    </w:p>
    <w:p w14:paraId="0581FC3D">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5.环境应急突发风险</w:t>
      </w:r>
    </w:p>
    <w:p w14:paraId="718FAD15">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硫酸储罐破裂泄漏：酸性污染地表水、土壤。</w:t>
      </w:r>
    </w:p>
    <w:p w14:paraId="4130038F">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防控及应急措施：</w:t>
      </w:r>
    </w:p>
    <w:p w14:paraId="362F9CD9">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巡回并详细检查硫酸储罐、法兰、管路、节门等，出现腐蚀、风化等，要及时更换。</w:t>
      </w:r>
    </w:p>
    <w:p w14:paraId="63E5F2A3">
      <w:pPr>
        <w:widowControl w:val="0"/>
        <w:numPr>
          <w:ilvl w:val="0"/>
          <w:numId w:val="0"/>
        </w:numPr>
        <w:ind w:firstLine="602" w:firstLineChars="200"/>
        <w:jc w:val="both"/>
        <w:rPr>
          <w:rFonts w:hint="eastAsia" w:ascii="宋体" w:hAnsi="宋体" w:eastAsia="宋体" w:cs="宋体"/>
          <w:b/>
          <w:bCs/>
          <w:kern w:val="2"/>
          <w:sz w:val="30"/>
          <w:szCs w:val="30"/>
          <w:lang w:val="en-US" w:eastAsia="zh-CN" w:bidi="ar-SA"/>
        </w:rPr>
      </w:pPr>
      <w:r>
        <w:rPr>
          <w:rFonts w:hint="eastAsia" w:ascii="宋体" w:hAnsi="宋体" w:eastAsia="宋体" w:cs="宋体"/>
          <w:b/>
          <w:bCs/>
          <w:kern w:val="2"/>
          <w:sz w:val="30"/>
          <w:szCs w:val="30"/>
          <w:lang w:val="en-US" w:eastAsia="zh-CN" w:bidi="ar-SA"/>
        </w:rPr>
        <w:t>四、“一厂一定”规范信息</w:t>
      </w:r>
    </w:p>
    <w:p w14:paraId="4E5D1BE9">
      <w:pPr>
        <w:widowControl w:val="0"/>
        <w:numPr>
          <w:ilvl w:val="0"/>
          <w:numId w:val="1"/>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一定排污口</w:t>
      </w:r>
    </w:p>
    <w:p w14:paraId="233203B3">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固定排放口2个。</w:t>
      </w:r>
    </w:p>
    <w:p w14:paraId="751F4CBD">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DA002：烘干排气筒，位置：烘干车间，污染物类别：颗粒物，达标排放。</w:t>
      </w:r>
    </w:p>
    <w:p w14:paraId="07DB2EFF">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DA003：酸解排放口，位置：酸解车间，污染物类别：硫酸雾，重复利用。</w:t>
      </w:r>
    </w:p>
    <w:p w14:paraId="64C5D32A">
      <w:pPr>
        <w:widowControl w:val="0"/>
        <w:numPr>
          <w:ilvl w:val="0"/>
          <w:numId w:val="1"/>
        </w:numPr>
        <w:ind w:left="0" w:leftChars="0"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一定治污设施</w:t>
      </w:r>
    </w:p>
    <w:p w14:paraId="1F5838B2">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废水：重复利用</w:t>
      </w:r>
    </w:p>
    <w:p w14:paraId="2E367D6C">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废气：治污设施:</w:t>
      </w:r>
      <w:r>
        <w:rPr>
          <w:rFonts w:hint="eastAsia" w:ascii="宋体" w:hAnsi="宋体" w:eastAsia="宋体" w:cs="宋体"/>
          <w:b w:val="0"/>
          <w:bCs w:val="0"/>
          <w:sz w:val="30"/>
          <w:szCs w:val="30"/>
          <w:lang w:val="en-US" w:eastAsia="zh-CN"/>
        </w:rPr>
        <w:t>布袋除尘器、多管除尘+水浴,投运时间：2012年，运行状态：正常。</w:t>
      </w:r>
    </w:p>
    <w:p w14:paraId="30A58C8F">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治污设施:</w:t>
      </w:r>
      <w:r>
        <w:rPr>
          <w:rFonts w:hint="eastAsia" w:ascii="宋体" w:hAnsi="宋体" w:eastAsia="宋体" w:cs="宋体"/>
          <w:b w:val="0"/>
          <w:bCs w:val="0"/>
          <w:sz w:val="30"/>
          <w:szCs w:val="30"/>
          <w:lang w:val="en-US" w:eastAsia="zh-CN"/>
        </w:rPr>
        <w:t>酸雾吸收装置，投运时间：2015年，运行状态：正常。</w:t>
      </w:r>
    </w:p>
    <w:p w14:paraId="5B2F1EEE">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治污设施:硫酸储罐吸附，</w:t>
      </w:r>
      <w:r>
        <w:rPr>
          <w:rFonts w:hint="eastAsia" w:ascii="宋体" w:hAnsi="宋体" w:eastAsia="宋体" w:cs="宋体"/>
          <w:b w:val="0"/>
          <w:bCs w:val="0"/>
          <w:sz w:val="30"/>
          <w:szCs w:val="30"/>
          <w:lang w:val="en-US" w:eastAsia="zh-CN"/>
        </w:rPr>
        <w:t>投运时间：2015年，运行状态：正常。</w:t>
      </w:r>
    </w:p>
    <w:p w14:paraId="20C83CD9">
      <w:pPr>
        <w:widowControl w:val="0"/>
        <w:numPr>
          <w:ilvl w:val="0"/>
          <w:numId w:val="1"/>
        </w:numPr>
        <w:ind w:left="0" w:leftChars="0"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一定风险点</w:t>
      </w:r>
    </w:p>
    <w:p w14:paraId="6E591352">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1.</w:t>
      </w:r>
      <w:r>
        <w:rPr>
          <w:rFonts w:hint="eastAsia" w:ascii="宋体" w:hAnsi="宋体" w:eastAsia="宋体" w:cs="宋体"/>
          <w:b w:val="0"/>
          <w:bCs w:val="0"/>
          <w:sz w:val="30"/>
          <w:szCs w:val="30"/>
          <w:lang w:val="en-US" w:eastAsia="zh-CN"/>
        </w:rPr>
        <w:t>厂区内环境风险源</w:t>
      </w:r>
    </w:p>
    <w:p w14:paraId="146151F4">
      <w:pPr>
        <w:widowControl w:val="0"/>
        <w:numPr>
          <w:ilvl w:val="0"/>
          <w:numId w:val="0"/>
        </w:numPr>
        <w:ind w:firstLine="600" w:firstLineChars="200"/>
        <w:jc w:val="both"/>
        <w:rPr>
          <w:rFonts w:hint="default"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大气环境风险源：废气</w:t>
      </w:r>
    </w:p>
    <w:p w14:paraId="2DB3982B">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水环境风险源：废水</w:t>
      </w:r>
    </w:p>
    <w:p w14:paraId="77A37DFB">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固体废物环境风险源：硼泥</w:t>
      </w:r>
    </w:p>
    <w:p w14:paraId="72F2DD3D">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土壤与生态风险源：酸沉降、硼累积、土壤酸化</w:t>
      </w:r>
    </w:p>
    <w:p w14:paraId="6D94556A">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生产过程安全次生环境风险源：酸泄漏</w:t>
      </w:r>
    </w:p>
    <w:p w14:paraId="616D8DF3">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2.</w:t>
      </w:r>
      <w:r>
        <w:rPr>
          <w:rFonts w:hint="eastAsia" w:ascii="宋体" w:hAnsi="宋体" w:eastAsia="宋体" w:cs="宋体"/>
          <w:b w:val="0"/>
          <w:bCs w:val="0"/>
          <w:sz w:val="30"/>
          <w:szCs w:val="30"/>
          <w:lang w:val="en-US" w:eastAsia="zh-CN"/>
        </w:rPr>
        <w:t>危险废物暂存点</w:t>
      </w:r>
    </w:p>
    <w:p w14:paraId="48A45B15">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危险废物（废机油、沾油物资、废机油桶）暂存库</w:t>
      </w:r>
    </w:p>
    <w:p w14:paraId="3B523104">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固体废物（硼泥）贮存库</w:t>
      </w:r>
    </w:p>
    <w:p w14:paraId="568D61D7">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3.</w:t>
      </w:r>
      <w:r>
        <w:rPr>
          <w:rFonts w:hint="eastAsia" w:ascii="宋体" w:hAnsi="宋体" w:eastAsia="宋体" w:cs="宋体"/>
          <w:b w:val="0"/>
          <w:bCs w:val="0"/>
          <w:sz w:val="30"/>
          <w:szCs w:val="30"/>
          <w:lang w:val="en-US" w:eastAsia="zh-CN"/>
        </w:rPr>
        <w:t>事故应急池</w:t>
      </w:r>
    </w:p>
    <w:p w14:paraId="361ED62A">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危险废物暂存库应急池</w:t>
      </w:r>
    </w:p>
    <w:p w14:paraId="0309B79D">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固体废物（硼泥）贮存库应急池</w:t>
      </w:r>
    </w:p>
    <w:p w14:paraId="4F9F2F32">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硫酸储罐应急池</w:t>
      </w:r>
    </w:p>
    <w:p w14:paraId="776CE699">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4.</w:t>
      </w:r>
      <w:r>
        <w:rPr>
          <w:rFonts w:hint="eastAsia" w:ascii="宋体" w:hAnsi="宋体" w:eastAsia="宋体" w:cs="宋体"/>
          <w:b w:val="0"/>
          <w:bCs w:val="0"/>
          <w:sz w:val="30"/>
          <w:szCs w:val="30"/>
          <w:lang w:val="en-US" w:eastAsia="zh-CN"/>
        </w:rPr>
        <w:t>防渗区域</w:t>
      </w:r>
    </w:p>
    <w:p w14:paraId="5983F21F">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危险废物暂存区域</w:t>
      </w:r>
    </w:p>
    <w:p w14:paraId="6AB81E23">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固体废物（硼泥）贮存区域</w:t>
      </w:r>
    </w:p>
    <w:p w14:paraId="4848FB72">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硫酸储罐区域</w:t>
      </w:r>
    </w:p>
    <w:p w14:paraId="33907661">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母液池区域</w:t>
      </w:r>
    </w:p>
    <w:p w14:paraId="3B4A2AA1">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5.</w:t>
      </w:r>
      <w:r>
        <w:rPr>
          <w:rFonts w:hint="eastAsia" w:ascii="宋体" w:hAnsi="宋体" w:eastAsia="宋体" w:cs="宋体"/>
          <w:b w:val="0"/>
          <w:bCs w:val="0"/>
          <w:sz w:val="30"/>
          <w:szCs w:val="30"/>
          <w:lang w:val="en-US" w:eastAsia="zh-CN"/>
        </w:rPr>
        <w:t>地下水监控点位</w:t>
      </w:r>
    </w:p>
    <w:p w14:paraId="3375E6DE">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地下水监控点1：水井西北侧</w:t>
      </w:r>
    </w:p>
    <w:p w14:paraId="67213623">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地下水监控点2：厂区东侧</w:t>
      </w:r>
    </w:p>
    <w:p w14:paraId="7EEA7539">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地下水监控点3：厂区南侧</w:t>
      </w:r>
    </w:p>
    <w:p w14:paraId="00F179A2">
      <w:pPr>
        <w:widowControl w:val="0"/>
        <w:numPr>
          <w:ilvl w:val="0"/>
          <w:numId w:val="1"/>
        </w:numPr>
        <w:ind w:left="0" w:leftChars="0"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一定管控要求</w:t>
      </w:r>
    </w:p>
    <w:p w14:paraId="0642BA28">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1.</w:t>
      </w:r>
      <w:r>
        <w:rPr>
          <w:rFonts w:hint="eastAsia" w:ascii="宋体" w:hAnsi="宋体" w:eastAsia="宋体" w:cs="宋体"/>
          <w:b w:val="0"/>
          <w:bCs w:val="0"/>
          <w:sz w:val="30"/>
          <w:szCs w:val="30"/>
          <w:lang w:val="en-US" w:eastAsia="zh-CN"/>
        </w:rPr>
        <w:t>排污许可证许可排放浓度</w:t>
      </w:r>
    </w:p>
    <w:p w14:paraId="14C22AC9">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排气筒颗粒物：许可排放浓度限值：30㎎／N㎥</w:t>
      </w:r>
    </w:p>
    <w:p w14:paraId="483C99F8">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酸解排放口硫酸雾：许可排放浓度限值：20㎎／N㎥</w:t>
      </w:r>
    </w:p>
    <w:p w14:paraId="5A128964">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厂界颗粒物：许可排放浓度限值：1.0㎎／N㎥</w:t>
      </w:r>
    </w:p>
    <w:p w14:paraId="5898D785">
      <w:pPr>
        <w:widowControl w:val="0"/>
        <w:numPr>
          <w:ilvl w:val="0"/>
          <w:numId w:val="0"/>
        </w:numPr>
        <w:ind w:firstLine="600" w:firstLineChars="200"/>
        <w:jc w:val="both"/>
        <w:rPr>
          <w:rFonts w:hint="default"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厂界硫酸雾：许可排放浓度限值：0.30㎎／N㎥</w:t>
      </w:r>
    </w:p>
    <w:p w14:paraId="6EAD95F4">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2.</w:t>
      </w:r>
      <w:r>
        <w:rPr>
          <w:rFonts w:hint="eastAsia" w:ascii="宋体" w:hAnsi="宋体" w:eastAsia="宋体" w:cs="宋体"/>
          <w:b w:val="0"/>
          <w:bCs w:val="0"/>
          <w:sz w:val="30"/>
          <w:szCs w:val="30"/>
          <w:lang w:val="en-US" w:eastAsia="zh-CN"/>
        </w:rPr>
        <w:t>自行监测要求</w:t>
      </w:r>
    </w:p>
    <w:p w14:paraId="320F7C38">
      <w:pPr>
        <w:widowControl w:val="0"/>
        <w:numPr>
          <w:ilvl w:val="0"/>
          <w:numId w:val="0"/>
        </w:numPr>
        <w:jc w:val="both"/>
        <w:rPr>
          <w:rFonts w:hint="eastAsia" w:ascii="宋体" w:hAnsi="宋体" w:eastAsia="宋体" w:cs="宋体"/>
          <w:b w:val="0"/>
          <w:bCs w:val="0"/>
          <w:sz w:val="30"/>
          <w:szCs w:val="30"/>
          <w:lang w:val="en-US" w:eastAsia="zh-CN"/>
        </w:rPr>
      </w:pPr>
    </w:p>
    <w:p w14:paraId="3F71F019">
      <w:pPr>
        <w:widowControl w:val="0"/>
        <w:numPr>
          <w:ilvl w:val="0"/>
          <w:numId w:val="0"/>
        </w:numPr>
        <w:ind w:firstLine="600" w:firstLineChars="200"/>
        <w:jc w:val="both"/>
        <w:rPr>
          <w:rFonts w:hint="default" w:ascii="宋体" w:hAnsi="宋体" w:eastAsia="宋体" w:cs="宋体"/>
          <w:b w:val="0"/>
          <w:bCs w:val="0"/>
          <w:sz w:val="30"/>
          <w:szCs w:val="30"/>
          <w:lang w:val="en-US" w:eastAsia="zh-CN"/>
        </w:rPr>
      </w:pPr>
    </w:p>
    <w:p w14:paraId="30B66D6F">
      <w:pPr>
        <w:widowControl w:val="0"/>
        <w:numPr>
          <w:ilvl w:val="0"/>
          <w:numId w:val="0"/>
        </w:numPr>
        <w:ind w:firstLine="600" w:firstLineChars="200"/>
        <w:jc w:val="both"/>
        <w:rPr>
          <w:rFonts w:hint="default" w:ascii="宋体" w:hAnsi="宋体" w:eastAsia="宋体" w:cs="宋体"/>
          <w:b w:val="0"/>
          <w:bCs w:val="0"/>
          <w:sz w:val="30"/>
          <w:szCs w:val="30"/>
          <w:lang w:val="en-US" w:eastAsia="zh-CN"/>
        </w:rPr>
      </w:pPr>
    </w:p>
    <w:p w14:paraId="3CE67149">
      <w:pPr>
        <w:widowControl w:val="0"/>
        <w:numPr>
          <w:ilvl w:val="0"/>
          <w:numId w:val="0"/>
        </w:numPr>
        <w:ind w:firstLine="600" w:firstLineChars="200"/>
        <w:jc w:val="both"/>
        <w:rPr>
          <w:rFonts w:hint="default" w:ascii="宋体" w:hAnsi="宋体" w:eastAsia="宋体" w:cs="宋体"/>
          <w:b w:val="0"/>
          <w:bCs w:val="0"/>
          <w:sz w:val="30"/>
          <w:szCs w:val="30"/>
          <w:lang w:val="en-US" w:eastAsia="zh-CN"/>
        </w:rPr>
      </w:pPr>
    </w:p>
    <w:p w14:paraId="55A9B56E">
      <w:pPr>
        <w:widowControl w:val="0"/>
        <w:numPr>
          <w:ilvl w:val="0"/>
          <w:numId w:val="0"/>
        </w:numPr>
        <w:ind w:firstLine="600" w:firstLineChars="200"/>
        <w:jc w:val="both"/>
        <w:rPr>
          <w:rFonts w:hint="default" w:ascii="宋体" w:hAnsi="宋体" w:eastAsia="宋体" w:cs="宋体"/>
          <w:b w:val="0"/>
          <w:bCs w:val="0"/>
          <w:sz w:val="30"/>
          <w:szCs w:val="30"/>
          <w:lang w:val="en-US" w:eastAsia="zh-CN"/>
        </w:rPr>
      </w:pPr>
    </w:p>
    <w:p w14:paraId="25B6E30C">
      <w:pPr>
        <w:widowControl w:val="0"/>
        <w:numPr>
          <w:ilvl w:val="0"/>
          <w:numId w:val="0"/>
        </w:numPr>
        <w:jc w:val="both"/>
        <w:rPr>
          <w:rFonts w:hint="default" w:ascii="宋体" w:hAnsi="宋体" w:eastAsia="宋体" w:cs="宋体"/>
          <w:b w:val="0"/>
          <w:bCs w:val="0"/>
          <w:sz w:val="30"/>
          <w:szCs w:val="30"/>
          <w:lang w:val="en-US" w:eastAsia="zh-CN"/>
        </w:rPr>
      </w:pPr>
    </w:p>
    <w:p w14:paraId="6F5CDF05">
      <w:pPr>
        <w:widowControl w:val="0"/>
        <w:numPr>
          <w:ilvl w:val="0"/>
          <w:numId w:val="0"/>
        </w:numPr>
        <w:ind w:firstLine="600" w:firstLineChars="200"/>
        <w:jc w:val="both"/>
        <w:rPr>
          <w:rFonts w:hint="default" w:ascii="宋体" w:hAnsi="宋体" w:eastAsia="宋体" w:cs="宋体"/>
          <w:b w:val="0"/>
          <w:bCs w:val="0"/>
          <w:sz w:val="30"/>
          <w:szCs w:val="30"/>
          <w:lang w:val="en-US" w:eastAsia="zh-CN"/>
        </w:rPr>
      </w:pPr>
    </w:p>
    <w:p w14:paraId="76BEE906">
      <w:pPr>
        <w:widowControl w:val="0"/>
        <w:numPr>
          <w:ilvl w:val="0"/>
          <w:numId w:val="0"/>
        </w:numPr>
        <w:ind w:firstLine="600" w:firstLineChars="200"/>
        <w:jc w:val="both"/>
        <w:rPr>
          <w:rFonts w:hint="default" w:ascii="宋体" w:hAnsi="宋体" w:eastAsia="宋体" w:cs="宋体"/>
          <w:b w:val="0"/>
          <w:bCs w:val="0"/>
          <w:sz w:val="30"/>
          <w:szCs w:val="30"/>
          <w:lang w:val="en-US" w:eastAsia="zh-CN"/>
        </w:rPr>
        <w:sectPr>
          <w:footerReference r:id="rId3" w:type="default"/>
          <w:pgSz w:w="11906" w:h="16838"/>
          <w:pgMar w:top="1440" w:right="1800" w:bottom="1440" w:left="1800" w:header="851" w:footer="992" w:gutter="0"/>
          <w:cols w:space="425" w:num="1"/>
          <w:docGrid w:type="lines" w:linePitch="312" w:charSpace="0"/>
        </w:sectPr>
      </w:pPr>
    </w:p>
    <w:p w14:paraId="6A5DD287">
      <w:pPr>
        <w:pStyle w:val="7"/>
        <w:spacing w:before="156" w:beforeLines="50" w:line="360" w:lineRule="auto"/>
        <w:jc w:val="center"/>
        <w:rPr>
          <w:rStyle w:val="6"/>
          <w:rFonts w:hint="eastAsia" w:ascii="Times New Roman" w:hAnsi="Times New Roman" w:cs="Times New Roman"/>
          <w:b/>
        </w:rPr>
      </w:pPr>
      <w:r>
        <w:rPr>
          <w:rStyle w:val="6"/>
          <w:rFonts w:ascii="Times New Roman" w:hAnsi="Times New Roman" w:cs="Times New Roman"/>
          <w:b/>
        </w:rPr>
        <w:t>表12 自行监测及记录表</w:t>
      </w:r>
    </w:p>
    <w:tbl>
      <w:tblPr>
        <w:tblStyle w:val="5"/>
        <w:tblW w:w="1434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68"/>
        <w:gridCol w:w="850"/>
        <w:gridCol w:w="693"/>
        <w:gridCol w:w="694"/>
        <w:gridCol w:w="694"/>
        <w:gridCol w:w="1276"/>
        <w:gridCol w:w="850"/>
        <w:gridCol w:w="598"/>
        <w:gridCol w:w="1134"/>
        <w:gridCol w:w="992"/>
        <w:gridCol w:w="850"/>
        <w:gridCol w:w="1276"/>
        <w:gridCol w:w="1038"/>
        <w:gridCol w:w="1842"/>
        <w:gridCol w:w="993"/>
      </w:tblGrid>
      <w:tr w14:paraId="3E3C10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8" w:hRule="atLeast"/>
          <w:tblHeader/>
          <w:jc w:val="center"/>
        </w:trPr>
        <w:tc>
          <w:tcPr>
            <w:tcW w:w="568" w:type="dxa"/>
            <w:noWrap w:val="0"/>
            <w:vAlign w:val="center"/>
          </w:tcPr>
          <w:p w14:paraId="609BA947">
            <w:pPr>
              <w:pStyle w:val="8"/>
              <w:adjustRightInd w:val="0"/>
              <w:snapToGrid w:val="0"/>
              <w:jc w:val="center"/>
              <w:rPr>
                <w:rStyle w:val="6"/>
                <w:rFonts w:ascii="黑体" w:hAnsi="黑体" w:eastAsia="黑体" w:cs="Times New Roman"/>
              </w:rPr>
            </w:pPr>
            <w:r>
              <w:rPr>
                <w:rStyle w:val="6"/>
                <w:rFonts w:ascii="黑体" w:hAnsi="黑体" w:eastAsia="黑体" w:cs="Times New Roman"/>
              </w:rPr>
              <w:t>序号</w:t>
            </w:r>
          </w:p>
        </w:tc>
        <w:tc>
          <w:tcPr>
            <w:tcW w:w="850" w:type="dxa"/>
            <w:noWrap w:val="0"/>
            <w:vAlign w:val="center"/>
          </w:tcPr>
          <w:p w14:paraId="279A4E6A">
            <w:pPr>
              <w:pStyle w:val="8"/>
              <w:adjustRightInd w:val="0"/>
              <w:snapToGrid w:val="0"/>
              <w:jc w:val="center"/>
              <w:rPr>
                <w:rStyle w:val="6"/>
                <w:rFonts w:ascii="黑体" w:hAnsi="黑体" w:eastAsia="黑体" w:cs="Times New Roman"/>
              </w:rPr>
            </w:pPr>
            <w:r>
              <w:rPr>
                <w:rStyle w:val="6"/>
                <w:rFonts w:ascii="黑体" w:hAnsi="黑体" w:eastAsia="黑体" w:cs="Times New Roman"/>
              </w:rPr>
              <w:t>污染源</w:t>
            </w:r>
          </w:p>
          <w:p w14:paraId="4E2A14C8">
            <w:pPr>
              <w:pStyle w:val="8"/>
              <w:adjustRightInd w:val="0"/>
              <w:snapToGrid w:val="0"/>
              <w:jc w:val="center"/>
              <w:rPr>
                <w:rStyle w:val="6"/>
                <w:rFonts w:hint="eastAsia" w:ascii="黑体" w:hAnsi="黑体" w:eastAsia="黑体" w:cs="Times New Roman"/>
              </w:rPr>
            </w:pPr>
            <w:r>
              <w:rPr>
                <w:rStyle w:val="6"/>
                <w:rFonts w:ascii="黑体" w:hAnsi="黑体" w:eastAsia="黑体" w:cs="Times New Roman"/>
              </w:rPr>
              <w:t>类别</w:t>
            </w:r>
            <w:r>
              <w:rPr>
                <w:rStyle w:val="6"/>
                <w:rFonts w:hint="eastAsia" w:ascii="黑体" w:hAnsi="黑体" w:eastAsia="黑体" w:cs="Times New Roman"/>
              </w:rPr>
              <w:t>/监测类别</w:t>
            </w:r>
          </w:p>
        </w:tc>
        <w:tc>
          <w:tcPr>
            <w:tcW w:w="693" w:type="dxa"/>
            <w:noWrap w:val="0"/>
            <w:vAlign w:val="center"/>
          </w:tcPr>
          <w:p w14:paraId="39FF6752">
            <w:pPr>
              <w:pStyle w:val="8"/>
              <w:adjustRightInd w:val="0"/>
              <w:snapToGrid w:val="0"/>
              <w:jc w:val="center"/>
              <w:rPr>
                <w:rStyle w:val="6"/>
                <w:rFonts w:ascii="黑体" w:hAnsi="黑体" w:eastAsia="黑体" w:cs="Times New Roman"/>
              </w:rPr>
            </w:pPr>
            <w:r>
              <w:rPr>
                <w:rStyle w:val="6"/>
                <w:rFonts w:ascii="黑体" w:hAnsi="黑体" w:eastAsia="黑体" w:cs="Times New Roman"/>
              </w:rPr>
              <w:t>排放口</w:t>
            </w:r>
            <w:r>
              <w:rPr>
                <w:rStyle w:val="6"/>
                <w:rFonts w:hint="eastAsia" w:ascii="黑体" w:hAnsi="黑体" w:eastAsia="黑体" w:cs="Times New Roman"/>
              </w:rPr>
              <w:t>编号/监测点位</w:t>
            </w:r>
          </w:p>
        </w:tc>
        <w:tc>
          <w:tcPr>
            <w:tcW w:w="694" w:type="dxa"/>
            <w:noWrap w:val="0"/>
            <w:vAlign w:val="center"/>
          </w:tcPr>
          <w:p w14:paraId="1DC2D606">
            <w:pPr>
              <w:pStyle w:val="8"/>
              <w:adjustRightInd w:val="0"/>
              <w:snapToGrid w:val="0"/>
              <w:jc w:val="center"/>
              <w:rPr>
                <w:rStyle w:val="6"/>
                <w:rFonts w:ascii="黑体" w:hAnsi="黑体" w:eastAsia="黑体" w:cs="Times New Roman"/>
              </w:rPr>
            </w:pPr>
            <w:r>
              <w:rPr>
                <w:rStyle w:val="6"/>
                <w:rFonts w:hint="eastAsia" w:ascii="黑体" w:hAnsi="黑体" w:eastAsia="黑体" w:cs="Times New Roman"/>
              </w:rPr>
              <w:t>排放口名称/监测点位名称</w:t>
            </w:r>
          </w:p>
        </w:tc>
        <w:tc>
          <w:tcPr>
            <w:tcW w:w="694" w:type="dxa"/>
            <w:noWrap w:val="0"/>
            <w:vAlign w:val="center"/>
          </w:tcPr>
          <w:p w14:paraId="41EE7410">
            <w:pPr>
              <w:pStyle w:val="8"/>
              <w:adjustRightInd w:val="0"/>
              <w:snapToGrid w:val="0"/>
              <w:jc w:val="center"/>
              <w:rPr>
                <w:rStyle w:val="6"/>
                <w:rFonts w:ascii="黑体" w:hAnsi="黑体" w:eastAsia="黑体" w:cs="Times New Roman"/>
              </w:rPr>
            </w:pPr>
            <w:r>
              <w:rPr>
                <w:rStyle w:val="6"/>
                <w:rFonts w:hint="eastAsia" w:ascii="黑体" w:hAnsi="黑体" w:eastAsia="黑体" w:cs="Times New Roman"/>
              </w:rPr>
              <w:t>监测内容</w:t>
            </w:r>
          </w:p>
        </w:tc>
        <w:tc>
          <w:tcPr>
            <w:tcW w:w="1276" w:type="dxa"/>
            <w:noWrap w:val="0"/>
            <w:vAlign w:val="center"/>
          </w:tcPr>
          <w:p w14:paraId="79E7B921">
            <w:pPr>
              <w:pStyle w:val="8"/>
              <w:adjustRightInd w:val="0"/>
              <w:snapToGrid w:val="0"/>
              <w:jc w:val="center"/>
              <w:rPr>
                <w:rStyle w:val="6"/>
                <w:rFonts w:ascii="黑体" w:hAnsi="黑体" w:eastAsia="黑体" w:cs="Times New Roman"/>
              </w:rPr>
            </w:pPr>
            <w:r>
              <w:rPr>
                <w:rStyle w:val="6"/>
                <w:rFonts w:ascii="黑体" w:hAnsi="黑体" w:eastAsia="黑体" w:cs="Times New Roman"/>
              </w:rPr>
              <w:t>污染物名称</w:t>
            </w:r>
          </w:p>
        </w:tc>
        <w:tc>
          <w:tcPr>
            <w:tcW w:w="850" w:type="dxa"/>
            <w:noWrap w:val="0"/>
            <w:vAlign w:val="center"/>
          </w:tcPr>
          <w:p w14:paraId="6C0EF526">
            <w:pPr>
              <w:pStyle w:val="8"/>
              <w:adjustRightInd w:val="0"/>
              <w:snapToGrid w:val="0"/>
              <w:jc w:val="center"/>
              <w:rPr>
                <w:rStyle w:val="6"/>
                <w:rFonts w:ascii="黑体" w:hAnsi="黑体" w:eastAsia="黑体" w:cs="Times New Roman"/>
              </w:rPr>
            </w:pPr>
            <w:r>
              <w:rPr>
                <w:rStyle w:val="6"/>
                <w:rFonts w:ascii="黑体" w:hAnsi="黑体" w:eastAsia="黑体" w:cs="Times New Roman"/>
              </w:rPr>
              <w:t>监测设施</w:t>
            </w:r>
          </w:p>
        </w:tc>
        <w:tc>
          <w:tcPr>
            <w:tcW w:w="598" w:type="dxa"/>
            <w:noWrap w:val="0"/>
            <w:vAlign w:val="center"/>
          </w:tcPr>
          <w:p w14:paraId="204590FE">
            <w:pPr>
              <w:pStyle w:val="8"/>
              <w:adjustRightInd w:val="0"/>
              <w:snapToGrid w:val="0"/>
              <w:jc w:val="center"/>
              <w:rPr>
                <w:rStyle w:val="6"/>
                <w:rFonts w:ascii="黑体" w:hAnsi="黑体" w:eastAsia="黑体" w:cs="Times New Roman"/>
              </w:rPr>
            </w:pPr>
            <w:r>
              <w:rPr>
                <w:rStyle w:val="6"/>
                <w:rFonts w:ascii="黑体" w:hAnsi="黑体" w:eastAsia="黑体" w:cs="Times New Roman"/>
              </w:rPr>
              <w:t>自动监测是否联网</w:t>
            </w:r>
          </w:p>
        </w:tc>
        <w:tc>
          <w:tcPr>
            <w:tcW w:w="1134" w:type="dxa"/>
            <w:noWrap w:val="0"/>
            <w:vAlign w:val="center"/>
          </w:tcPr>
          <w:p w14:paraId="66806AB9">
            <w:pPr>
              <w:pStyle w:val="8"/>
              <w:adjustRightInd w:val="0"/>
              <w:snapToGrid w:val="0"/>
              <w:jc w:val="center"/>
              <w:rPr>
                <w:rStyle w:val="6"/>
                <w:rFonts w:hint="eastAsia" w:ascii="黑体" w:hAnsi="黑体" w:eastAsia="黑体" w:cs="Times New Roman"/>
              </w:rPr>
            </w:pPr>
            <w:r>
              <w:rPr>
                <w:rStyle w:val="6"/>
                <w:rFonts w:hint="eastAsia" w:ascii="黑体" w:hAnsi="黑体" w:eastAsia="黑体" w:cs="Times New Roman"/>
              </w:rPr>
              <w:t>自动监测仪器名称</w:t>
            </w:r>
          </w:p>
        </w:tc>
        <w:tc>
          <w:tcPr>
            <w:tcW w:w="992" w:type="dxa"/>
            <w:noWrap w:val="0"/>
            <w:vAlign w:val="center"/>
          </w:tcPr>
          <w:p w14:paraId="1619FF89">
            <w:pPr>
              <w:pStyle w:val="8"/>
              <w:adjustRightInd w:val="0"/>
              <w:snapToGrid w:val="0"/>
              <w:jc w:val="center"/>
              <w:rPr>
                <w:rStyle w:val="6"/>
                <w:rFonts w:ascii="黑体" w:hAnsi="黑体" w:eastAsia="黑体" w:cs="Times New Roman"/>
              </w:rPr>
            </w:pPr>
            <w:r>
              <w:rPr>
                <w:rStyle w:val="6"/>
                <w:rFonts w:hint="eastAsia" w:ascii="黑体" w:hAnsi="黑体" w:eastAsia="黑体" w:cs="Times New Roman"/>
              </w:rPr>
              <w:t>自动监测设施安装位置</w:t>
            </w:r>
          </w:p>
        </w:tc>
        <w:tc>
          <w:tcPr>
            <w:tcW w:w="850" w:type="dxa"/>
            <w:noWrap w:val="0"/>
            <w:vAlign w:val="center"/>
          </w:tcPr>
          <w:p w14:paraId="47CCAED0">
            <w:pPr>
              <w:pStyle w:val="8"/>
              <w:adjustRightInd w:val="0"/>
              <w:snapToGrid w:val="0"/>
              <w:jc w:val="center"/>
              <w:rPr>
                <w:rStyle w:val="6"/>
                <w:rFonts w:ascii="黑体" w:hAnsi="黑体" w:eastAsia="黑体" w:cs="Times New Roman"/>
              </w:rPr>
            </w:pPr>
            <w:r>
              <w:rPr>
                <w:rStyle w:val="6"/>
                <w:rFonts w:hint="eastAsia" w:ascii="黑体" w:hAnsi="黑体" w:eastAsia="黑体" w:cs="Times New Roman"/>
              </w:rPr>
              <w:t>自动监测设施是否符合安装、运行、维护等管理要求</w:t>
            </w:r>
          </w:p>
        </w:tc>
        <w:tc>
          <w:tcPr>
            <w:tcW w:w="1276" w:type="dxa"/>
            <w:noWrap w:val="0"/>
            <w:vAlign w:val="center"/>
          </w:tcPr>
          <w:p w14:paraId="5C429924">
            <w:pPr>
              <w:pStyle w:val="8"/>
              <w:adjustRightInd w:val="0"/>
              <w:snapToGrid w:val="0"/>
              <w:jc w:val="center"/>
              <w:rPr>
                <w:rStyle w:val="6"/>
                <w:rFonts w:ascii="黑体" w:hAnsi="黑体" w:eastAsia="黑体" w:cs="Times New Roman"/>
                <w:highlight w:val="yellow"/>
              </w:rPr>
            </w:pPr>
            <w:r>
              <w:rPr>
                <w:rStyle w:val="6"/>
                <w:rFonts w:hint="eastAsia" w:ascii="黑体" w:hAnsi="黑体" w:eastAsia="黑体" w:cs="Times New Roman"/>
              </w:rPr>
              <w:t>手工</w:t>
            </w:r>
            <w:r>
              <w:rPr>
                <w:rStyle w:val="6"/>
                <w:rFonts w:ascii="黑体" w:hAnsi="黑体" w:eastAsia="黑体" w:cs="Times New Roman"/>
              </w:rPr>
              <w:t>监测采样方法及个数</w:t>
            </w:r>
          </w:p>
        </w:tc>
        <w:tc>
          <w:tcPr>
            <w:tcW w:w="1038" w:type="dxa"/>
            <w:noWrap w:val="0"/>
            <w:vAlign w:val="center"/>
          </w:tcPr>
          <w:p w14:paraId="728B4C1F">
            <w:pPr>
              <w:pStyle w:val="8"/>
              <w:adjustRightInd w:val="0"/>
              <w:snapToGrid w:val="0"/>
              <w:jc w:val="center"/>
              <w:rPr>
                <w:rStyle w:val="6"/>
                <w:rFonts w:ascii="黑体" w:hAnsi="黑体" w:eastAsia="黑体" w:cs="Times New Roman"/>
              </w:rPr>
            </w:pPr>
            <w:r>
              <w:rPr>
                <w:rStyle w:val="6"/>
                <w:rFonts w:ascii="黑体" w:hAnsi="黑体" w:eastAsia="黑体" w:cs="Times New Roman"/>
              </w:rPr>
              <w:t>手工监测</w:t>
            </w:r>
          </w:p>
          <w:p w14:paraId="43D3FD0A">
            <w:pPr>
              <w:pStyle w:val="8"/>
              <w:adjustRightInd w:val="0"/>
              <w:snapToGrid w:val="0"/>
              <w:jc w:val="center"/>
              <w:rPr>
                <w:rStyle w:val="6"/>
                <w:rFonts w:ascii="黑体" w:hAnsi="黑体" w:eastAsia="黑体" w:cs="Times New Roman"/>
              </w:rPr>
            </w:pPr>
            <w:r>
              <w:rPr>
                <w:rStyle w:val="6"/>
                <w:rFonts w:ascii="黑体" w:hAnsi="黑体" w:eastAsia="黑体" w:cs="Times New Roman"/>
              </w:rPr>
              <w:t>频次</w:t>
            </w:r>
          </w:p>
        </w:tc>
        <w:tc>
          <w:tcPr>
            <w:tcW w:w="1842" w:type="dxa"/>
            <w:noWrap w:val="0"/>
            <w:vAlign w:val="center"/>
          </w:tcPr>
          <w:p w14:paraId="5308FFC6">
            <w:pPr>
              <w:pStyle w:val="8"/>
              <w:adjustRightInd w:val="0"/>
              <w:snapToGrid w:val="0"/>
              <w:jc w:val="center"/>
              <w:rPr>
                <w:rStyle w:val="6"/>
                <w:rFonts w:ascii="黑体" w:hAnsi="黑体" w:eastAsia="黑体" w:cs="Times New Roman"/>
              </w:rPr>
            </w:pPr>
            <w:r>
              <w:rPr>
                <w:rStyle w:val="6"/>
                <w:rFonts w:hint="eastAsia" w:ascii="黑体" w:hAnsi="黑体" w:eastAsia="黑体" w:cs="Times New Roman"/>
              </w:rPr>
              <w:t>手工</w:t>
            </w:r>
            <w:r>
              <w:rPr>
                <w:rStyle w:val="6"/>
                <w:rFonts w:ascii="黑体" w:hAnsi="黑体" w:eastAsia="黑体" w:cs="Times New Roman"/>
              </w:rPr>
              <w:t>测定方法</w:t>
            </w:r>
          </w:p>
        </w:tc>
        <w:tc>
          <w:tcPr>
            <w:tcW w:w="993" w:type="dxa"/>
            <w:noWrap w:val="0"/>
            <w:vAlign w:val="center"/>
          </w:tcPr>
          <w:p w14:paraId="0AE40A6F">
            <w:pPr>
              <w:pStyle w:val="8"/>
              <w:adjustRightInd w:val="0"/>
              <w:snapToGrid w:val="0"/>
              <w:jc w:val="center"/>
              <w:rPr>
                <w:rStyle w:val="6"/>
                <w:rFonts w:ascii="黑体" w:hAnsi="黑体" w:eastAsia="黑体" w:cs="Times New Roman"/>
              </w:rPr>
            </w:pPr>
            <w:r>
              <w:rPr>
                <w:rStyle w:val="6"/>
                <w:rFonts w:ascii="黑体" w:hAnsi="黑体" w:eastAsia="黑体" w:cs="Times New Roman"/>
              </w:rPr>
              <w:t>其他信息</w:t>
            </w:r>
          </w:p>
        </w:tc>
      </w:tr>
      <w:tr w14:paraId="29CF9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348" w:type="dxa"/>
            <w:gridSpan w:val="15"/>
            <w:noWrap w:val="0"/>
            <w:vAlign w:val="center"/>
          </w:tcPr>
          <w:tbl>
            <w:tblPr>
              <w:tblStyle w:val="5"/>
              <w:tblW w:w="5000" w:type="pct"/>
              <w:tblInd w:w="0" w:type="dxa"/>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690"/>
              <w:gridCol w:w="645"/>
              <w:gridCol w:w="660"/>
              <w:gridCol w:w="2460"/>
              <w:gridCol w:w="600"/>
              <w:gridCol w:w="439"/>
              <w:gridCol w:w="240"/>
              <w:gridCol w:w="1121"/>
              <w:gridCol w:w="1001"/>
              <w:gridCol w:w="849"/>
              <w:gridCol w:w="1268"/>
              <w:gridCol w:w="1052"/>
              <w:gridCol w:w="2578"/>
              <w:gridCol w:w="240"/>
            </w:tblGrid>
            <w:tr w14:paraId="17E7AF5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32FA6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w:t>
                  </w:r>
                </w:p>
              </w:tc>
              <w:tc>
                <w:tcPr>
                  <w:tcW w:w="240" w:type="pct"/>
                  <w:noWrap w:val="0"/>
                  <w:vAlign w:val="center"/>
                </w:tcPr>
                <w:p w14:paraId="7B60DBC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废气</w:t>
                  </w:r>
                </w:p>
              </w:tc>
              <w:tc>
                <w:tcPr>
                  <w:tcW w:w="225" w:type="pct"/>
                  <w:noWrap w:val="0"/>
                  <w:vAlign w:val="center"/>
                </w:tcPr>
                <w:p w14:paraId="23C760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DA002</w:t>
                  </w:r>
                </w:p>
              </w:tc>
              <w:tc>
                <w:tcPr>
                  <w:tcW w:w="230" w:type="pct"/>
                  <w:noWrap w:val="0"/>
                  <w:vAlign w:val="center"/>
                </w:tcPr>
                <w:p w14:paraId="2BA41A6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烘干排气筒</w:t>
                  </w:r>
                </w:p>
              </w:tc>
              <w:tc>
                <w:tcPr>
                  <w:tcW w:w="858" w:type="pct"/>
                  <w:noWrap w:val="0"/>
                  <w:vAlign w:val="center"/>
                </w:tcPr>
                <w:p w14:paraId="7350311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烟气量,烟气温度,烟气流速,烟气压力,烟气含湿量</w:t>
                  </w:r>
                </w:p>
              </w:tc>
              <w:tc>
                <w:tcPr>
                  <w:tcW w:w="209" w:type="pct"/>
                  <w:noWrap w:val="0"/>
                  <w:vAlign w:val="center"/>
                </w:tcPr>
                <w:p w14:paraId="6912889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颗粒物</w:t>
                  </w:r>
                </w:p>
              </w:tc>
              <w:tc>
                <w:tcPr>
                  <w:tcW w:w="153" w:type="pct"/>
                  <w:noWrap w:val="0"/>
                  <w:vAlign w:val="center"/>
                </w:tcPr>
                <w:p w14:paraId="542D964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E5472DB">
                  <w:pPr>
                    <w:widowControl w:val="0"/>
                    <w:jc w:val="both"/>
                    <w:rPr>
                      <w:rFonts w:ascii="Calibri" w:hAnsi="Calibri"/>
                      <w:kern w:val="2"/>
                      <w:sz w:val="21"/>
                      <w:lang w:val="en-US" w:eastAsia="zh-CN" w:bidi="ar-SA"/>
                    </w:rPr>
                  </w:pPr>
                </w:p>
              </w:tc>
              <w:tc>
                <w:tcPr>
                  <w:tcW w:w="0" w:type="auto"/>
                  <w:noWrap w:val="0"/>
                  <w:vAlign w:val="center"/>
                </w:tcPr>
                <w:p w14:paraId="7DBE5E56">
                  <w:pPr>
                    <w:widowControl w:val="0"/>
                    <w:jc w:val="both"/>
                    <w:rPr>
                      <w:rFonts w:ascii="Calibri" w:hAnsi="Calibri"/>
                      <w:kern w:val="2"/>
                      <w:sz w:val="21"/>
                      <w:lang w:val="en-US" w:eastAsia="zh-CN" w:bidi="ar-SA"/>
                    </w:rPr>
                  </w:pPr>
                </w:p>
              </w:tc>
              <w:tc>
                <w:tcPr>
                  <w:tcW w:w="0" w:type="auto"/>
                  <w:noWrap w:val="0"/>
                  <w:vAlign w:val="center"/>
                </w:tcPr>
                <w:p w14:paraId="63287D1D">
                  <w:pPr>
                    <w:widowControl w:val="0"/>
                    <w:jc w:val="both"/>
                    <w:rPr>
                      <w:rFonts w:ascii="Calibri" w:hAnsi="Calibri"/>
                      <w:kern w:val="2"/>
                      <w:sz w:val="21"/>
                      <w:lang w:val="en-US" w:eastAsia="zh-CN" w:bidi="ar-SA"/>
                    </w:rPr>
                  </w:pPr>
                </w:p>
              </w:tc>
              <w:tc>
                <w:tcPr>
                  <w:tcW w:w="0" w:type="auto"/>
                  <w:noWrap w:val="0"/>
                  <w:vAlign w:val="center"/>
                </w:tcPr>
                <w:p w14:paraId="2E406C6E">
                  <w:pPr>
                    <w:widowControl w:val="0"/>
                    <w:jc w:val="both"/>
                    <w:rPr>
                      <w:rFonts w:ascii="Calibri" w:hAnsi="Calibri"/>
                      <w:kern w:val="2"/>
                      <w:sz w:val="21"/>
                      <w:lang w:val="en-US" w:eastAsia="zh-CN" w:bidi="ar-SA"/>
                    </w:rPr>
                  </w:pPr>
                </w:p>
              </w:tc>
              <w:tc>
                <w:tcPr>
                  <w:tcW w:w="0" w:type="auto"/>
                  <w:noWrap w:val="0"/>
                  <w:vAlign w:val="center"/>
                </w:tcPr>
                <w:p w14:paraId="1387C2F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非连续采样 至少3个</w:t>
                  </w:r>
                </w:p>
              </w:tc>
              <w:tc>
                <w:tcPr>
                  <w:tcW w:w="0" w:type="auto"/>
                  <w:noWrap w:val="0"/>
                  <w:vAlign w:val="center"/>
                </w:tcPr>
                <w:p w14:paraId="3165D1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1次/半年</w:t>
                  </w:r>
                </w:p>
              </w:tc>
              <w:tc>
                <w:tcPr>
                  <w:tcW w:w="900" w:type="pct"/>
                  <w:noWrap w:val="0"/>
                  <w:vAlign w:val="center"/>
                </w:tcPr>
                <w:p w14:paraId="4F1F364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固定污染源排气中颗粒物测定与气态污染物采样方法 GB/T 16157-1996</w:t>
                  </w:r>
                </w:p>
              </w:tc>
              <w:tc>
                <w:tcPr>
                  <w:tcW w:w="83" w:type="pct"/>
                  <w:noWrap w:val="0"/>
                  <w:vAlign w:val="center"/>
                </w:tcPr>
                <w:p w14:paraId="212FC4BE">
                  <w:pPr>
                    <w:widowControl w:val="0"/>
                    <w:jc w:val="both"/>
                    <w:rPr>
                      <w:rFonts w:ascii="Calibri" w:hAnsi="Calibri"/>
                      <w:kern w:val="2"/>
                      <w:sz w:val="21"/>
                      <w:lang w:val="en-US" w:eastAsia="zh-CN" w:bidi="ar-SA"/>
                    </w:rPr>
                  </w:pPr>
                </w:p>
              </w:tc>
            </w:tr>
            <w:tr w14:paraId="6D2B404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FEEEE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w:t>
                  </w:r>
                </w:p>
              </w:tc>
              <w:tc>
                <w:tcPr>
                  <w:tcW w:w="240" w:type="pct"/>
                  <w:noWrap w:val="0"/>
                  <w:vAlign w:val="center"/>
                </w:tcPr>
                <w:p w14:paraId="18ED120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废气</w:t>
                  </w:r>
                </w:p>
              </w:tc>
              <w:tc>
                <w:tcPr>
                  <w:tcW w:w="225" w:type="pct"/>
                  <w:noWrap w:val="0"/>
                  <w:vAlign w:val="center"/>
                </w:tcPr>
                <w:p w14:paraId="2A97B4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DA003</w:t>
                  </w:r>
                </w:p>
              </w:tc>
              <w:tc>
                <w:tcPr>
                  <w:tcW w:w="230" w:type="pct"/>
                  <w:noWrap w:val="0"/>
                  <w:vAlign w:val="center"/>
                </w:tcPr>
                <w:p w14:paraId="72E813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酸解排放口</w:t>
                  </w:r>
                </w:p>
              </w:tc>
              <w:tc>
                <w:tcPr>
                  <w:tcW w:w="858" w:type="pct"/>
                  <w:noWrap w:val="0"/>
                  <w:vAlign w:val="center"/>
                </w:tcPr>
                <w:p w14:paraId="506B165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烟气温度,烟气量,烟气流速,烟气含湿量,烟气压力</w:t>
                  </w:r>
                </w:p>
              </w:tc>
              <w:tc>
                <w:tcPr>
                  <w:tcW w:w="209" w:type="pct"/>
                  <w:noWrap w:val="0"/>
                  <w:vAlign w:val="center"/>
                </w:tcPr>
                <w:p w14:paraId="0EE2A9D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硫酸雾</w:t>
                  </w:r>
                </w:p>
              </w:tc>
              <w:tc>
                <w:tcPr>
                  <w:tcW w:w="153" w:type="pct"/>
                  <w:noWrap w:val="0"/>
                  <w:vAlign w:val="center"/>
                </w:tcPr>
                <w:p w14:paraId="32DAE1C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4E210E1">
                  <w:pPr>
                    <w:widowControl w:val="0"/>
                    <w:jc w:val="both"/>
                    <w:rPr>
                      <w:rFonts w:ascii="Calibri" w:hAnsi="Calibri"/>
                      <w:kern w:val="2"/>
                      <w:sz w:val="21"/>
                      <w:lang w:val="en-US" w:eastAsia="zh-CN" w:bidi="ar-SA"/>
                    </w:rPr>
                  </w:pPr>
                </w:p>
              </w:tc>
              <w:tc>
                <w:tcPr>
                  <w:tcW w:w="0" w:type="auto"/>
                  <w:noWrap w:val="0"/>
                  <w:vAlign w:val="center"/>
                </w:tcPr>
                <w:p w14:paraId="334B2F1F">
                  <w:pPr>
                    <w:widowControl w:val="0"/>
                    <w:jc w:val="both"/>
                    <w:rPr>
                      <w:rFonts w:ascii="Calibri" w:hAnsi="Calibri"/>
                      <w:kern w:val="2"/>
                      <w:sz w:val="21"/>
                      <w:lang w:val="en-US" w:eastAsia="zh-CN" w:bidi="ar-SA"/>
                    </w:rPr>
                  </w:pPr>
                </w:p>
              </w:tc>
              <w:tc>
                <w:tcPr>
                  <w:tcW w:w="0" w:type="auto"/>
                  <w:noWrap w:val="0"/>
                  <w:vAlign w:val="center"/>
                </w:tcPr>
                <w:p w14:paraId="1CF7D3B6">
                  <w:pPr>
                    <w:widowControl w:val="0"/>
                    <w:jc w:val="both"/>
                    <w:rPr>
                      <w:rFonts w:ascii="Calibri" w:hAnsi="Calibri"/>
                      <w:kern w:val="2"/>
                      <w:sz w:val="21"/>
                      <w:lang w:val="en-US" w:eastAsia="zh-CN" w:bidi="ar-SA"/>
                    </w:rPr>
                  </w:pPr>
                </w:p>
              </w:tc>
              <w:tc>
                <w:tcPr>
                  <w:tcW w:w="0" w:type="auto"/>
                  <w:noWrap w:val="0"/>
                  <w:vAlign w:val="center"/>
                </w:tcPr>
                <w:p w14:paraId="412F1B9F">
                  <w:pPr>
                    <w:widowControl w:val="0"/>
                    <w:jc w:val="both"/>
                    <w:rPr>
                      <w:rFonts w:ascii="Calibri" w:hAnsi="Calibri"/>
                      <w:kern w:val="2"/>
                      <w:sz w:val="21"/>
                      <w:lang w:val="en-US" w:eastAsia="zh-CN" w:bidi="ar-SA"/>
                    </w:rPr>
                  </w:pPr>
                </w:p>
              </w:tc>
              <w:tc>
                <w:tcPr>
                  <w:tcW w:w="0" w:type="auto"/>
                  <w:noWrap w:val="0"/>
                  <w:vAlign w:val="center"/>
                </w:tcPr>
                <w:p w14:paraId="0E11E71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非连续采样 至少3个</w:t>
                  </w:r>
                </w:p>
              </w:tc>
              <w:tc>
                <w:tcPr>
                  <w:tcW w:w="0" w:type="auto"/>
                  <w:noWrap w:val="0"/>
                  <w:vAlign w:val="center"/>
                </w:tcPr>
                <w:p w14:paraId="6545108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1次/半年</w:t>
                  </w:r>
                </w:p>
              </w:tc>
              <w:tc>
                <w:tcPr>
                  <w:tcW w:w="900" w:type="pct"/>
                  <w:noWrap w:val="0"/>
                  <w:vAlign w:val="center"/>
                </w:tcPr>
                <w:p w14:paraId="6987F97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固定污染源废气 硫酸雾测定 离子色谱法（暂行）HJ 544－2009</w:t>
                  </w:r>
                </w:p>
              </w:tc>
              <w:tc>
                <w:tcPr>
                  <w:tcW w:w="83" w:type="pct"/>
                  <w:noWrap w:val="0"/>
                  <w:vAlign w:val="center"/>
                </w:tcPr>
                <w:p w14:paraId="4C053DF5">
                  <w:pPr>
                    <w:widowControl w:val="0"/>
                    <w:jc w:val="both"/>
                    <w:rPr>
                      <w:rFonts w:ascii="Calibri" w:hAnsi="Calibri"/>
                      <w:kern w:val="2"/>
                      <w:sz w:val="21"/>
                      <w:lang w:val="en-US" w:eastAsia="zh-CN" w:bidi="ar-SA"/>
                    </w:rPr>
                  </w:pPr>
                </w:p>
              </w:tc>
            </w:tr>
            <w:tr w14:paraId="1F37374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0C87F5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w:t>
                  </w:r>
                </w:p>
              </w:tc>
              <w:tc>
                <w:tcPr>
                  <w:tcW w:w="240" w:type="pct"/>
                  <w:noWrap w:val="0"/>
                  <w:vAlign w:val="center"/>
                </w:tcPr>
                <w:p w14:paraId="3591D0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废气</w:t>
                  </w:r>
                </w:p>
              </w:tc>
              <w:tc>
                <w:tcPr>
                  <w:tcW w:w="225" w:type="pct"/>
                  <w:noWrap w:val="0"/>
                  <w:vAlign w:val="center"/>
                </w:tcPr>
                <w:p w14:paraId="29DD7F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厂界</w:t>
                  </w:r>
                </w:p>
              </w:tc>
              <w:tc>
                <w:tcPr>
                  <w:tcW w:w="230" w:type="pct"/>
                  <w:noWrap w:val="0"/>
                  <w:vAlign w:val="center"/>
                </w:tcPr>
                <w:p w14:paraId="167FF805">
                  <w:pPr>
                    <w:widowControl w:val="0"/>
                    <w:jc w:val="both"/>
                    <w:rPr>
                      <w:rFonts w:ascii="Calibri" w:hAnsi="Calibri"/>
                      <w:kern w:val="2"/>
                      <w:sz w:val="21"/>
                      <w:lang w:val="en-US" w:eastAsia="zh-CN" w:bidi="ar-SA"/>
                    </w:rPr>
                  </w:pPr>
                </w:p>
              </w:tc>
              <w:tc>
                <w:tcPr>
                  <w:tcW w:w="858" w:type="pct"/>
                  <w:noWrap w:val="0"/>
                  <w:vAlign w:val="center"/>
                </w:tcPr>
                <w:p w14:paraId="7ADA87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温度,气压,风速,风向,湿度</w:t>
                  </w:r>
                </w:p>
              </w:tc>
              <w:tc>
                <w:tcPr>
                  <w:tcW w:w="209" w:type="pct"/>
                  <w:noWrap w:val="0"/>
                  <w:vAlign w:val="center"/>
                </w:tcPr>
                <w:p w14:paraId="0AAE4A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硫酸雾</w:t>
                  </w:r>
                </w:p>
              </w:tc>
              <w:tc>
                <w:tcPr>
                  <w:tcW w:w="153" w:type="pct"/>
                  <w:noWrap w:val="0"/>
                  <w:vAlign w:val="center"/>
                </w:tcPr>
                <w:p w14:paraId="061FDF5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C2F1A29">
                  <w:pPr>
                    <w:widowControl w:val="0"/>
                    <w:jc w:val="both"/>
                    <w:rPr>
                      <w:rFonts w:ascii="Calibri" w:hAnsi="Calibri"/>
                      <w:kern w:val="2"/>
                      <w:sz w:val="21"/>
                      <w:lang w:val="en-US" w:eastAsia="zh-CN" w:bidi="ar-SA"/>
                    </w:rPr>
                  </w:pPr>
                </w:p>
              </w:tc>
              <w:tc>
                <w:tcPr>
                  <w:tcW w:w="0" w:type="auto"/>
                  <w:noWrap w:val="0"/>
                  <w:vAlign w:val="center"/>
                </w:tcPr>
                <w:p w14:paraId="62B73415">
                  <w:pPr>
                    <w:widowControl w:val="0"/>
                    <w:jc w:val="both"/>
                    <w:rPr>
                      <w:rFonts w:ascii="Calibri" w:hAnsi="Calibri"/>
                      <w:kern w:val="2"/>
                      <w:sz w:val="21"/>
                      <w:lang w:val="en-US" w:eastAsia="zh-CN" w:bidi="ar-SA"/>
                    </w:rPr>
                  </w:pPr>
                </w:p>
              </w:tc>
              <w:tc>
                <w:tcPr>
                  <w:tcW w:w="0" w:type="auto"/>
                  <w:noWrap w:val="0"/>
                  <w:vAlign w:val="center"/>
                </w:tcPr>
                <w:p w14:paraId="3CF8FD4A">
                  <w:pPr>
                    <w:widowControl w:val="0"/>
                    <w:jc w:val="both"/>
                    <w:rPr>
                      <w:rFonts w:ascii="Calibri" w:hAnsi="Calibri"/>
                      <w:kern w:val="2"/>
                      <w:sz w:val="21"/>
                      <w:lang w:val="en-US" w:eastAsia="zh-CN" w:bidi="ar-SA"/>
                    </w:rPr>
                  </w:pPr>
                </w:p>
              </w:tc>
              <w:tc>
                <w:tcPr>
                  <w:tcW w:w="0" w:type="auto"/>
                  <w:noWrap w:val="0"/>
                  <w:vAlign w:val="center"/>
                </w:tcPr>
                <w:p w14:paraId="2DCBA32B">
                  <w:pPr>
                    <w:widowControl w:val="0"/>
                    <w:jc w:val="both"/>
                    <w:rPr>
                      <w:rFonts w:ascii="Calibri" w:hAnsi="Calibri"/>
                      <w:kern w:val="2"/>
                      <w:sz w:val="21"/>
                      <w:lang w:val="en-US" w:eastAsia="zh-CN" w:bidi="ar-SA"/>
                    </w:rPr>
                  </w:pPr>
                </w:p>
              </w:tc>
              <w:tc>
                <w:tcPr>
                  <w:tcW w:w="0" w:type="auto"/>
                  <w:noWrap w:val="0"/>
                  <w:vAlign w:val="center"/>
                </w:tcPr>
                <w:p w14:paraId="022FD3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非连续采样 至少4个</w:t>
                  </w:r>
                </w:p>
              </w:tc>
              <w:tc>
                <w:tcPr>
                  <w:tcW w:w="0" w:type="auto"/>
                  <w:noWrap w:val="0"/>
                  <w:vAlign w:val="center"/>
                </w:tcPr>
                <w:p w14:paraId="4A60C4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1次/半年</w:t>
                  </w:r>
                </w:p>
              </w:tc>
              <w:tc>
                <w:tcPr>
                  <w:tcW w:w="900" w:type="pct"/>
                  <w:noWrap w:val="0"/>
                  <w:vAlign w:val="center"/>
                </w:tcPr>
                <w:p w14:paraId="3074EC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环境空气和废气硫酸雾的测定 铬酸钡分光光度法</w:t>
                  </w:r>
                </w:p>
              </w:tc>
              <w:tc>
                <w:tcPr>
                  <w:tcW w:w="83" w:type="pct"/>
                  <w:noWrap w:val="0"/>
                  <w:vAlign w:val="center"/>
                </w:tcPr>
                <w:p w14:paraId="20C35476">
                  <w:pPr>
                    <w:widowControl w:val="0"/>
                    <w:jc w:val="both"/>
                    <w:rPr>
                      <w:rFonts w:ascii="Calibri" w:hAnsi="Calibri"/>
                      <w:kern w:val="2"/>
                      <w:sz w:val="21"/>
                      <w:lang w:val="en-US" w:eastAsia="zh-CN" w:bidi="ar-SA"/>
                    </w:rPr>
                  </w:pPr>
                </w:p>
              </w:tc>
            </w:tr>
            <w:tr w14:paraId="565ED88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C9A4D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w:t>
                  </w:r>
                </w:p>
              </w:tc>
              <w:tc>
                <w:tcPr>
                  <w:tcW w:w="240" w:type="pct"/>
                  <w:noWrap w:val="0"/>
                  <w:vAlign w:val="center"/>
                </w:tcPr>
                <w:p w14:paraId="7FEE9C7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废气</w:t>
                  </w:r>
                </w:p>
              </w:tc>
              <w:tc>
                <w:tcPr>
                  <w:tcW w:w="225" w:type="pct"/>
                  <w:noWrap w:val="0"/>
                  <w:vAlign w:val="center"/>
                </w:tcPr>
                <w:p w14:paraId="443632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厂界</w:t>
                  </w:r>
                </w:p>
              </w:tc>
              <w:tc>
                <w:tcPr>
                  <w:tcW w:w="230" w:type="pct"/>
                  <w:noWrap w:val="0"/>
                  <w:vAlign w:val="center"/>
                </w:tcPr>
                <w:p w14:paraId="0360063F">
                  <w:pPr>
                    <w:widowControl w:val="0"/>
                    <w:jc w:val="both"/>
                    <w:rPr>
                      <w:rFonts w:ascii="Calibri" w:hAnsi="Calibri"/>
                      <w:kern w:val="2"/>
                      <w:sz w:val="21"/>
                      <w:lang w:val="en-US" w:eastAsia="zh-CN" w:bidi="ar-SA"/>
                    </w:rPr>
                  </w:pPr>
                </w:p>
              </w:tc>
              <w:tc>
                <w:tcPr>
                  <w:tcW w:w="858" w:type="pct"/>
                  <w:noWrap w:val="0"/>
                  <w:vAlign w:val="center"/>
                </w:tcPr>
                <w:p w14:paraId="2FF22F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温度,湿度,气压,风速,风向</w:t>
                  </w:r>
                </w:p>
              </w:tc>
              <w:tc>
                <w:tcPr>
                  <w:tcW w:w="209" w:type="pct"/>
                  <w:noWrap w:val="0"/>
                  <w:vAlign w:val="center"/>
                </w:tcPr>
                <w:p w14:paraId="7B89DA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颗粒物</w:t>
                  </w:r>
                </w:p>
              </w:tc>
              <w:tc>
                <w:tcPr>
                  <w:tcW w:w="153" w:type="pct"/>
                  <w:noWrap w:val="0"/>
                  <w:vAlign w:val="center"/>
                </w:tcPr>
                <w:p w14:paraId="52F411C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4CCE8C5">
                  <w:pPr>
                    <w:widowControl w:val="0"/>
                    <w:jc w:val="both"/>
                    <w:rPr>
                      <w:rFonts w:ascii="Calibri" w:hAnsi="Calibri"/>
                      <w:kern w:val="2"/>
                      <w:sz w:val="21"/>
                      <w:lang w:val="en-US" w:eastAsia="zh-CN" w:bidi="ar-SA"/>
                    </w:rPr>
                  </w:pPr>
                </w:p>
              </w:tc>
              <w:tc>
                <w:tcPr>
                  <w:tcW w:w="0" w:type="auto"/>
                  <w:noWrap w:val="0"/>
                  <w:vAlign w:val="center"/>
                </w:tcPr>
                <w:p w14:paraId="4F903653">
                  <w:pPr>
                    <w:widowControl w:val="0"/>
                    <w:jc w:val="both"/>
                    <w:rPr>
                      <w:rFonts w:ascii="Calibri" w:hAnsi="Calibri"/>
                      <w:kern w:val="2"/>
                      <w:sz w:val="21"/>
                      <w:lang w:val="en-US" w:eastAsia="zh-CN" w:bidi="ar-SA"/>
                    </w:rPr>
                  </w:pPr>
                </w:p>
              </w:tc>
              <w:tc>
                <w:tcPr>
                  <w:tcW w:w="0" w:type="auto"/>
                  <w:noWrap w:val="0"/>
                  <w:vAlign w:val="center"/>
                </w:tcPr>
                <w:p w14:paraId="351089D3">
                  <w:pPr>
                    <w:widowControl w:val="0"/>
                    <w:jc w:val="both"/>
                    <w:rPr>
                      <w:rFonts w:ascii="Calibri" w:hAnsi="Calibri"/>
                      <w:kern w:val="2"/>
                      <w:sz w:val="21"/>
                      <w:lang w:val="en-US" w:eastAsia="zh-CN" w:bidi="ar-SA"/>
                    </w:rPr>
                  </w:pPr>
                </w:p>
              </w:tc>
              <w:tc>
                <w:tcPr>
                  <w:tcW w:w="0" w:type="auto"/>
                  <w:noWrap w:val="0"/>
                  <w:vAlign w:val="center"/>
                </w:tcPr>
                <w:p w14:paraId="35A5E4E9">
                  <w:pPr>
                    <w:widowControl w:val="0"/>
                    <w:jc w:val="both"/>
                    <w:rPr>
                      <w:rFonts w:ascii="Calibri" w:hAnsi="Calibri"/>
                      <w:kern w:val="2"/>
                      <w:sz w:val="21"/>
                      <w:lang w:val="en-US" w:eastAsia="zh-CN" w:bidi="ar-SA"/>
                    </w:rPr>
                  </w:pPr>
                </w:p>
              </w:tc>
              <w:tc>
                <w:tcPr>
                  <w:tcW w:w="0" w:type="auto"/>
                  <w:noWrap w:val="0"/>
                  <w:vAlign w:val="center"/>
                </w:tcPr>
                <w:p w14:paraId="595A567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非连续采样 至少4个</w:t>
                  </w:r>
                </w:p>
              </w:tc>
              <w:tc>
                <w:tcPr>
                  <w:tcW w:w="0" w:type="auto"/>
                  <w:noWrap w:val="0"/>
                  <w:vAlign w:val="center"/>
                </w:tcPr>
                <w:p w14:paraId="1806520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4EA51C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环境空气 总悬浮颗粒物的测定 重量法 GB/T 15432-1995</w:t>
                  </w:r>
                </w:p>
              </w:tc>
              <w:tc>
                <w:tcPr>
                  <w:tcW w:w="83" w:type="pct"/>
                  <w:noWrap w:val="0"/>
                  <w:vAlign w:val="center"/>
                </w:tcPr>
                <w:p w14:paraId="3DD3451A">
                  <w:pPr>
                    <w:widowControl w:val="0"/>
                    <w:jc w:val="both"/>
                    <w:rPr>
                      <w:rFonts w:ascii="Calibri" w:hAnsi="Calibri"/>
                      <w:kern w:val="2"/>
                      <w:sz w:val="21"/>
                      <w:lang w:val="en-US" w:eastAsia="zh-CN" w:bidi="ar-SA"/>
                    </w:rPr>
                  </w:pPr>
                </w:p>
              </w:tc>
            </w:tr>
            <w:tr w14:paraId="2CF3D653">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E7543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w:t>
                  </w:r>
                </w:p>
              </w:tc>
              <w:tc>
                <w:tcPr>
                  <w:tcW w:w="240" w:type="pct"/>
                  <w:noWrap w:val="0"/>
                  <w:vAlign w:val="center"/>
                </w:tcPr>
                <w:p w14:paraId="3EEF93A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0D4D3E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43208B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31D3C0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37C992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7A4D3E1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66838EB">
                  <w:pPr>
                    <w:widowControl w:val="0"/>
                    <w:jc w:val="both"/>
                    <w:rPr>
                      <w:rFonts w:ascii="Calibri" w:hAnsi="Calibri"/>
                      <w:kern w:val="2"/>
                      <w:sz w:val="21"/>
                      <w:lang w:val="en-US" w:eastAsia="zh-CN" w:bidi="ar-SA"/>
                    </w:rPr>
                  </w:pPr>
                </w:p>
              </w:tc>
              <w:tc>
                <w:tcPr>
                  <w:tcW w:w="0" w:type="auto"/>
                  <w:noWrap w:val="0"/>
                  <w:vAlign w:val="center"/>
                </w:tcPr>
                <w:p w14:paraId="5BBF6C24">
                  <w:pPr>
                    <w:widowControl w:val="0"/>
                    <w:jc w:val="both"/>
                    <w:rPr>
                      <w:rFonts w:ascii="Calibri" w:hAnsi="Calibri"/>
                      <w:kern w:val="2"/>
                      <w:sz w:val="21"/>
                      <w:lang w:val="en-US" w:eastAsia="zh-CN" w:bidi="ar-SA"/>
                    </w:rPr>
                  </w:pPr>
                </w:p>
              </w:tc>
              <w:tc>
                <w:tcPr>
                  <w:tcW w:w="0" w:type="auto"/>
                  <w:noWrap w:val="0"/>
                  <w:vAlign w:val="center"/>
                </w:tcPr>
                <w:p w14:paraId="7A506844">
                  <w:pPr>
                    <w:widowControl w:val="0"/>
                    <w:jc w:val="both"/>
                    <w:rPr>
                      <w:rFonts w:ascii="Calibri" w:hAnsi="Calibri"/>
                      <w:kern w:val="2"/>
                      <w:sz w:val="21"/>
                      <w:lang w:val="en-US" w:eastAsia="zh-CN" w:bidi="ar-SA"/>
                    </w:rPr>
                  </w:pPr>
                </w:p>
              </w:tc>
              <w:tc>
                <w:tcPr>
                  <w:tcW w:w="0" w:type="auto"/>
                  <w:noWrap w:val="0"/>
                  <w:vAlign w:val="center"/>
                </w:tcPr>
                <w:p w14:paraId="2EEDA143">
                  <w:pPr>
                    <w:widowControl w:val="0"/>
                    <w:jc w:val="both"/>
                    <w:rPr>
                      <w:rFonts w:ascii="Calibri" w:hAnsi="Calibri"/>
                      <w:kern w:val="2"/>
                      <w:sz w:val="21"/>
                      <w:lang w:val="en-US" w:eastAsia="zh-CN" w:bidi="ar-SA"/>
                    </w:rPr>
                  </w:pPr>
                </w:p>
              </w:tc>
              <w:tc>
                <w:tcPr>
                  <w:tcW w:w="0" w:type="auto"/>
                  <w:noWrap w:val="0"/>
                  <w:vAlign w:val="center"/>
                </w:tcPr>
                <w:p w14:paraId="4563687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43CB2D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1FBC64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《土壤中 pH 值的测定电位法》（HJ962-2018）</w:t>
                  </w:r>
                </w:p>
              </w:tc>
              <w:tc>
                <w:tcPr>
                  <w:tcW w:w="83" w:type="pct"/>
                  <w:noWrap w:val="0"/>
                  <w:vAlign w:val="center"/>
                </w:tcPr>
                <w:p w14:paraId="105FF5CF">
                  <w:pPr>
                    <w:widowControl w:val="0"/>
                    <w:jc w:val="both"/>
                    <w:rPr>
                      <w:rFonts w:ascii="Calibri" w:hAnsi="Calibri"/>
                      <w:kern w:val="2"/>
                      <w:sz w:val="21"/>
                      <w:lang w:val="en-US" w:eastAsia="zh-CN" w:bidi="ar-SA"/>
                    </w:rPr>
                  </w:pPr>
                </w:p>
              </w:tc>
            </w:tr>
            <w:tr w14:paraId="5ED63BE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2546D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w:t>
                  </w:r>
                </w:p>
              </w:tc>
              <w:tc>
                <w:tcPr>
                  <w:tcW w:w="240" w:type="pct"/>
                  <w:noWrap w:val="0"/>
                  <w:vAlign w:val="center"/>
                </w:tcPr>
                <w:p w14:paraId="05164B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CC8D2B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8CBFC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6D400B3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4BBB310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4AD7ED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57231DD">
                  <w:pPr>
                    <w:widowControl w:val="0"/>
                    <w:jc w:val="both"/>
                    <w:rPr>
                      <w:rFonts w:ascii="Calibri" w:hAnsi="Calibri"/>
                      <w:kern w:val="2"/>
                      <w:sz w:val="21"/>
                      <w:lang w:val="en-US" w:eastAsia="zh-CN" w:bidi="ar-SA"/>
                    </w:rPr>
                  </w:pPr>
                </w:p>
              </w:tc>
              <w:tc>
                <w:tcPr>
                  <w:tcW w:w="0" w:type="auto"/>
                  <w:noWrap w:val="0"/>
                  <w:vAlign w:val="center"/>
                </w:tcPr>
                <w:p w14:paraId="7D66E8A2">
                  <w:pPr>
                    <w:widowControl w:val="0"/>
                    <w:jc w:val="both"/>
                    <w:rPr>
                      <w:rFonts w:ascii="Calibri" w:hAnsi="Calibri"/>
                      <w:kern w:val="2"/>
                      <w:sz w:val="21"/>
                      <w:lang w:val="en-US" w:eastAsia="zh-CN" w:bidi="ar-SA"/>
                    </w:rPr>
                  </w:pPr>
                </w:p>
              </w:tc>
              <w:tc>
                <w:tcPr>
                  <w:tcW w:w="0" w:type="auto"/>
                  <w:noWrap w:val="0"/>
                  <w:vAlign w:val="center"/>
                </w:tcPr>
                <w:p w14:paraId="71BFB3BB">
                  <w:pPr>
                    <w:widowControl w:val="0"/>
                    <w:jc w:val="both"/>
                    <w:rPr>
                      <w:rFonts w:ascii="Calibri" w:hAnsi="Calibri"/>
                      <w:kern w:val="2"/>
                      <w:sz w:val="21"/>
                      <w:lang w:val="en-US" w:eastAsia="zh-CN" w:bidi="ar-SA"/>
                    </w:rPr>
                  </w:pPr>
                </w:p>
              </w:tc>
              <w:tc>
                <w:tcPr>
                  <w:tcW w:w="0" w:type="auto"/>
                  <w:noWrap w:val="0"/>
                  <w:vAlign w:val="center"/>
                </w:tcPr>
                <w:p w14:paraId="21DF95FE">
                  <w:pPr>
                    <w:widowControl w:val="0"/>
                    <w:jc w:val="both"/>
                    <w:rPr>
                      <w:rFonts w:ascii="Calibri" w:hAnsi="Calibri"/>
                      <w:kern w:val="2"/>
                      <w:sz w:val="21"/>
                      <w:lang w:val="en-US" w:eastAsia="zh-CN" w:bidi="ar-SA"/>
                    </w:rPr>
                  </w:pPr>
                </w:p>
              </w:tc>
              <w:tc>
                <w:tcPr>
                  <w:tcW w:w="0" w:type="auto"/>
                  <w:noWrap w:val="0"/>
                  <w:vAlign w:val="center"/>
                </w:tcPr>
                <w:p w14:paraId="526BEF4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37E8AD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60C944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《土壤中 pH 值的测定电位法》（HJ962-2018）</w:t>
                  </w:r>
                </w:p>
              </w:tc>
              <w:tc>
                <w:tcPr>
                  <w:tcW w:w="83" w:type="pct"/>
                  <w:noWrap w:val="0"/>
                  <w:vAlign w:val="center"/>
                </w:tcPr>
                <w:p w14:paraId="5FDC5DD7">
                  <w:pPr>
                    <w:widowControl w:val="0"/>
                    <w:jc w:val="both"/>
                    <w:rPr>
                      <w:rFonts w:ascii="Calibri" w:hAnsi="Calibri"/>
                      <w:kern w:val="2"/>
                      <w:sz w:val="21"/>
                      <w:lang w:val="en-US" w:eastAsia="zh-CN" w:bidi="ar-SA"/>
                    </w:rPr>
                  </w:pPr>
                </w:p>
              </w:tc>
            </w:tr>
            <w:tr w14:paraId="5A78997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44EE1D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w:t>
                  </w:r>
                </w:p>
              </w:tc>
              <w:tc>
                <w:tcPr>
                  <w:tcW w:w="240" w:type="pct"/>
                  <w:noWrap w:val="0"/>
                  <w:vAlign w:val="center"/>
                </w:tcPr>
                <w:p w14:paraId="2F5324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C79BD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088FB5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3B3C3D5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539DEB3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6D7D5E2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A4EBEC8">
                  <w:pPr>
                    <w:widowControl w:val="0"/>
                    <w:jc w:val="both"/>
                    <w:rPr>
                      <w:rFonts w:ascii="Calibri" w:hAnsi="Calibri"/>
                      <w:kern w:val="2"/>
                      <w:sz w:val="21"/>
                      <w:lang w:val="en-US" w:eastAsia="zh-CN" w:bidi="ar-SA"/>
                    </w:rPr>
                  </w:pPr>
                </w:p>
              </w:tc>
              <w:tc>
                <w:tcPr>
                  <w:tcW w:w="0" w:type="auto"/>
                  <w:noWrap w:val="0"/>
                  <w:vAlign w:val="center"/>
                </w:tcPr>
                <w:p w14:paraId="600B68A8">
                  <w:pPr>
                    <w:widowControl w:val="0"/>
                    <w:jc w:val="both"/>
                    <w:rPr>
                      <w:rFonts w:ascii="Calibri" w:hAnsi="Calibri"/>
                      <w:kern w:val="2"/>
                      <w:sz w:val="21"/>
                      <w:lang w:val="en-US" w:eastAsia="zh-CN" w:bidi="ar-SA"/>
                    </w:rPr>
                  </w:pPr>
                </w:p>
              </w:tc>
              <w:tc>
                <w:tcPr>
                  <w:tcW w:w="0" w:type="auto"/>
                  <w:noWrap w:val="0"/>
                  <w:vAlign w:val="center"/>
                </w:tcPr>
                <w:p w14:paraId="6309D184">
                  <w:pPr>
                    <w:widowControl w:val="0"/>
                    <w:jc w:val="both"/>
                    <w:rPr>
                      <w:rFonts w:ascii="Calibri" w:hAnsi="Calibri"/>
                      <w:kern w:val="2"/>
                      <w:sz w:val="21"/>
                      <w:lang w:val="en-US" w:eastAsia="zh-CN" w:bidi="ar-SA"/>
                    </w:rPr>
                  </w:pPr>
                </w:p>
              </w:tc>
              <w:tc>
                <w:tcPr>
                  <w:tcW w:w="0" w:type="auto"/>
                  <w:noWrap w:val="0"/>
                  <w:vAlign w:val="center"/>
                </w:tcPr>
                <w:p w14:paraId="394D815A">
                  <w:pPr>
                    <w:widowControl w:val="0"/>
                    <w:jc w:val="both"/>
                    <w:rPr>
                      <w:rFonts w:ascii="Calibri" w:hAnsi="Calibri"/>
                      <w:kern w:val="2"/>
                      <w:sz w:val="21"/>
                      <w:lang w:val="en-US" w:eastAsia="zh-CN" w:bidi="ar-SA"/>
                    </w:rPr>
                  </w:pPr>
                </w:p>
              </w:tc>
              <w:tc>
                <w:tcPr>
                  <w:tcW w:w="0" w:type="auto"/>
                  <w:noWrap w:val="0"/>
                  <w:vAlign w:val="center"/>
                </w:tcPr>
                <w:p w14:paraId="46AA6FE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E1767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53792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《土壤中 pH 值的测定电位法》（HJ962-2018）</w:t>
                  </w:r>
                </w:p>
              </w:tc>
              <w:tc>
                <w:tcPr>
                  <w:tcW w:w="83" w:type="pct"/>
                  <w:noWrap w:val="0"/>
                  <w:vAlign w:val="center"/>
                </w:tcPr>
                <w:p w14:paraId="4B4A56BF">
                  <w:pPr>
                    <w:widowControl w:val="0"/>
                    <w:jc w:val="both"/>
                    <w:rPr>
                      <w:rFonts w:ascii="Calibri" w:hAnsi="Calibri"/>
                      <w:kern w:val="2"/>
                      <w:sz w:val="21"/>
                      <w:lang w:val="en-US" w:eastAsia="zh-CN" w:bidi="ar-SA"/>
                    </w:rPr>
                  </w:pPr>
                </w:p>
              </w:tc>
            </w:tr>
            <w:tr w14:paraId="430A9425">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59F37C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w:t>
                  </w:r>
                </w:p>
              </w:tc>
              <w:tc>
                <w:tcPr>
                  <w:tcW w:w="240" w:type="pct"/>
                  <w:noWrap w:val="0"/>
                  <w:vAlign w:val="center"/>
                </w:tcPr>
                <w:p w14:paraId="39C7AB3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3D81A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55CD84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792528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5BCF701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54D5E0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93601EE">
                  <w:pPr>
                    <w:widowControl w:val="0"/>
                    <w:jc w:val="both"/>
                    <w:rPr>
                      <w:rFonts w:ascii="Calibri" w:hAnsi="Calibri"/>
                      <w:kern w:val="2"/>
                      <w:sz w:val="21"/>
                      <w:lang w:val="en-US" w:eastAsia="zh-CN" w:bidi="ar-SA"/>
                    </w:rPr>
                  </w:pPr>
                </w:p>
              </w:tc>
              <w:tc>
                <w:tcPr>
                  <w:tcW w:w="0" w:type="auto"/>
                  <w:noWrap w:val="0"/>
                  <w:vAlign w:val="center"/>
                </w:tcPr>
                <w:p w14:paraId="0E1AFE3F">
                  <w:pPr>
                    <w:widowControl w:val="0"/>
                    <w:jc w:val="both"/>
                    <w:rPr>
                      <w:rFonts w:ascii="Calibri" w:hAnsi="Calibri"/>
                      <w:kern w:val="2"/>
                      <w:sz w:val="21"/>
                      <w:lang w:val="en-US" w:eastAsia="zh-CN" w:bidi="ar-SA"/>
                    </w:rPr>
                  </w:pPr>
                </w:p>
              </w:tc>
              <w:tc>
                <w:tcPr>
                  <w:tcW w:w="0" w:type="auto"/>
                  <w:noWrap w:val="0"/>
                  <w:vAlign w:val="center"/>
                </w:tcPr>
                <w:p w14:paraId="6EB8A95A">
                  <w:pPr>
                    <w:widowControl w:val="0"/>
                    <w:jc w:val="both"/>
                    <w:rPr>
                      <w:rFonts w:ascii="Calibri" w:hAnsi="Calibri"/>
                      <w:kern w:val="2"/>
                      <w:sz w:val="21"/>
                      <w:lang w:val="en-US" w:eastAsia="zh-CN" w:bidi="ar-SA"/>
                    </w:rPr>
                  </w:pPr>
                </w:p>
              </w:tc>
              <w:tc>
                <w:tcPr>
                  <w:tcW w:w="0" w:type="auto"/>
                  <w:noWrap w:val="0"/>
                  <w:vAlign w:val="center"/>
                </w:tcPr>
                <w:p w14:paraId="3F6AC3BF">
                  <w:pPr>
                    <w:widowControl w:val="0"/>
                    <w:jc w:val="both"/>
                    <w:rPr>
                      <w:rFonts w:ascii="Calibri" w:hAnsi="Calibri"/>
                      <w:kern w:val="2"/>
                      <w:sz w:val="21"/>
                      <w:lang w:val="en-US" w:eastAsia="zh-CN" w:bidi="ar-SA"/>
                    </w:rPr>
                  </w:pPr>
                </w:p>
              </w:tc>
              <w:tc>
                <w:tcPr>
                  <w:tcW w:w="0" w:type="auto"/>
                  <w:noWrap w:val="0"/>
                  <w:vAlign w:val="center"/>
                </w:tcPr>
                <w:p w14:paraId="2F3F385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A0F114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D7107A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《土壤中 pH 值的测定电位法》（HJ962-2018）</w:t>
                  </w:r>
                </w:p>
              </w:tc>
              <w:tc>
                <w:tcPr>
                  <w:tcW w:w="83" w:type="pct"/>
                  <w:noWrap w:val="0"/>
                  <w:vAlign w:val="center"/>
                </w:tcPr>
                <w:p w14:paraId="7ECEEC1C">
                  <w:pPr>
                    <w:widowControl w:val="0"/>
                    <w:jc w:val="both"/>
                    <w:rPr>
                      <w:rFonts w:ascii="Calibri" w:hAnsi="Calibri"/>
                      <w:kern w:val="2"/>
                      <w:sz w:val="21"/>
                      <w:lang w:val="en-US" w:eastAsia="zh-CN" w:bidi="ar-SA"/>
                    </w:rPr>
                  </w:pPr>
                </w:p>
              </w:tc>
            </w:tr>
            <w:tr w14:paraId="08088AB5">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D1B11A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w:t>
                  </w:r>
                </w:p>
              </w:tc>
              <w:tc>
                <w:tcPr>
                  <w:tcW w:w="240" w:type="pct"/>
                  <w:noWrap w:val="0"/>
                  <w:vAlign w:val="center"/>
                </w:tcPr>
                <w:p w14:paraId="31F45D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439562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6F3A5E5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1E4CD3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8517E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375D4D4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426A380">
                  <w:pPr>
                    <w:widowControl w:val="0"/>
                    <w:jc w:val="both"/>
                    <w:rPr>
                      <w:rFonts w:ascii="Calibri" w:hAnsi="Calibri"/>
                      <w:kern w:val="2"/>
                      <w:sz w:val="21"/>
                      <w:lang w:val="en-US" w:eastAsia="zh-CN" w:bidi="ar-SA"/>
                    </w:rPr>
                  </w:pPr>
                </w:p>
              </w:tc>
              <w:tc>
                <w:tcPr>
                  <w:tcW w:w="0" w:type="auto"/>
                  <w:noWrap w:val="0"/>
                  <w:vAlign w:val="center"/>
                </w:tcPr>
                <w:p w14:paraId="2EA998D5">
                  <w:pPr>
                    <w:widowControl w:val="0"/>
                    <w:jc w:val="both"/>
                    <w:rPr>
                      <w:rFonts w:ascii="Calibri" w:hAnsi="Calibri"/>
                      <w:kern w:val="2"/>
                      <w:sz w:val="21"/>
                      <w:lang w:val="en-US" w:eastAsia="zh-CN" w:bidi="ar-SA"/>
                    </w:rPr>
                  </w:pPr>
                </w:p>
              </w:tc>
              <w:tc>
                <w:tcPr>
                  <w:tcW w:w="0" w:type="auto"/>
                  <w:noWrap w:val="0"/>
                  <w:vAlign w:val="center"/>
                </w:tcPr>
                <w:p w14:paraId="61556F42">
                  <w:pPr>
                    <w:widowControl w:val="0"/>
                    <w:jc w:val="both"/>
                    <w:rPr>
                      <w:rFonts w:ascii="Calibri" w:hAnsi="Calibri"/>
                      <w:kern w:val="2"/>
                      <w:sz w:val="21"/>
                      <w:lang w:val="en-US" w:eastAsia="zh-CN" w:bidi="ar-SA"/>
                    </w:rPr>
                  </w:pPr>
                </w:p>
              </w:tc>
              <w:tc>
                <w:tcPr>
                  <w:tcW w:w="0" w:type="auto"/>
                  <w:noWrap w:val="0"/>
                  <w:vAlign w:val="center"/>
                </w:tcPr>
                <w:p w14:paraId="645CAB16">
                  <w:pPr>
                    <w:widowControl w:val="0"/>
                    <w:jc w:val="both"/>
                    <w:rPr>
                      <w:rFonts w:ascii="Calibri" w:hAnsi="Calibri"/>
                      <w:kern w:val="2"/>
                      <w:sz w:val="21"/>
                      <w:lang w:val="en-US" w:eastAsia="zh-CN" w:bidi="ar-SA"/>
                    </w:rPr>
                  </w:pPr>
                </w:p>
              </w:tc>
              <w:tc>
                <w:tcPr>
                  <w:tcW w:w="0" w:type="auto"/>
                  <w:noWrap w:val="0"/>
                  <w:vAlign w:val="center"/>
                </w:tcPr>
                <w:p w14:paraId="06E67C6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559B7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F40E50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《土壤中 pH 值的测定电位法》（HJ962-2018）</w:t>
                  </w:r>
                </w:p>
              </w:tc>
              <w:tc>
                <w:tcPr>
                  <w:tcW w:w="83" w:type="pct"/>
                  <w:noWrap w:val="0"/>
                  <w:vAlign w:val="center"/>
                </w:tcPr>
                <w:p w14:paraId="6BC61499">
                  <w:pPr>
                    <w:widowControl w:val="0"/>
                    <w:jc w:val="both"/>
                    <w:rPr>
                      <w:rFonts w:ascii="Calibri" w:hAnsi="Calibri"/>
                      <w:kern w:val="2"/>
                      <w:sz w:val="21"/>
                      <w:lang w:val="en-US" w:eastAsia="zh-CN" w:bidi="ar-SA"/>
                    </w:rPr>
                  </w:pPr>
                </w:p>
              </w:tc>
            </w:tr>
            <w:tr w14:paraId="7986D64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30974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w:t>
                  </w:r>
                </w:p>
              </w:tc>
              <w:tc>
                <w:tcPr>
                  <w:tcW w:w="240" w:type="pct"/>
                  <w:noWrap w:val="0"/>
                  <w:vAlign w:val="center"/>
                </w:tcPr>
                <w:p w14:paraId="2F1F77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79042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3BD2DFB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49F44E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171F79F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6C6BF92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1CB492B">
                  <w:pPr>
                    <w:widowControl w:val="0"/>
                    <w:jc w:val="both"/>
                    <w:rPr>
                      <w:rFonts w:ascii="Calibri" w:hAnsi="Calibri"/>
                      <w:kern w:val="2"/>
                      <w:sz w:val="21"/>
                      <w:lang w:val="en-US" w:eastAsia="zh-CN" w:bidi="ar-SA"/>
                    </w:rPr>
                  </w:pPr>
                </w:p>
              </w:tc>
              <w:tc>
                <w:tcPr>
                  <w:tcW w:w="0" w:type="auto"/>
                  <w:noWrap w:val="0"/>
                  <w:vAlign w:val="center"/>
                </w:tcPr>
                <w:p w14:paraId="3F9146C8">
                  <w:pPr>
                    <w:widowControl w:val="0"/>
                    <w:jc w:val="both"/>
                    <w:rPr>
                      <w:rFonts w:ascii="Calibri" w:hAnsi="Calibri"/>
                      <w:kern w:val="2"/>
                      <w:sz w:val="21"/>
                      <w:lang w:val="en-US" w:eastAsia="zh-CN" w:bidi="ar-SA"/>
                    </w:rPr>
                  </w:pPr>
                </w:p>
              </w:tc>
              <w:tc>
                <w:tcPr>
                  <w:tcW w:w="0" w:type="auto"/>
                  <w:noWrap w:val="0"/>
                  <w:vAlign w:val="center"/>
                </w:tcPr>
                <w:p w14:paraId="7EDF38E4">
                  <w:pPr>
                    <w:widowControl w:val="0"/>
                    <w:jc w:val="both"/>
                    <w:rPr>
                      <w:rFonts w:ascii="Calibri" w:hAnsi="Calibri"/>
                      <w:kern w:val="2"/>
                      <w:sz w:val="21"/>
                      <w:lang w:val="en-US" w:eastAsia="zh-CN" w:bidi="ar-SA"/>
                    </w:rPr>
                  </w:pPr>
                </w:p>
              </w:tc>
              <w:tc>
                <w:tcPr>
                  <w:tcW w:w="0" w:type="auto"/>
                  <w:noWrap w:val="0"/>
                  <w:vAlign w:val="center"/>
                </w:tcPr>
                <w:p w14:paraId="5C10E4F3">
                  <w:pPr>
                    <w:widowControl w:val="0"/>
                    <w:jc w:val="both"/>
                    <w:rPr>
                      <w:rFonts w:ascii="Calibri" w:hAnsi="Calibri"/>
                      <w:kern w:val="2"/>
                      <w:sz w:val="21"/>
                      <w:lang w:val="en-US" w:eastAsia="zh-CN" w:bidi="ar-SA"/>
                    </w:rPr>
                  </w:pPr>
                </w:p>
              </w:tc>
              <w:tc>
                <w:tcPr>
                  <w:tcW w:w="0" w:type="auto"/>
                  <w:noWrap w:val="0"/>
                  <w:vAlign w:val="center"/>
                </w:tcPr>
                <w:p w14:paraId="24BCA2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BF4519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CF229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《土壤中 pH 值的测定电位法》（HJ962-2018）</w:t>
                  </w:r>
                </w:p>
              </w:tc>
              <w:tc>
                <w:tcPr>
                  <w:tcW w:w="83" w:type="pct"/>
                  <w:noWrap w:val="0"/>
                  <w:vAlign w:val="center"/>
                </w:tcPr>
                <w:p w14:paraId="4C2D891D">
                  <w:pPr>
                    <w:widowControl w:val="0"/>
                    <w:jc w:val="both"/>
                    <w:rPr>
                      <w:rFonts w:ascii="Calibri" w:hAnsi="Calibri"/>
                      <w:kern w:val="2"/>
                      <w:sz w:val="21"/>
                      <w:lang w:val="en-US" w:eastAsia="zh-CN" w:bidi="ar-SA"/>
                    </w:rPr>
                  </w:pPr>
                </w:p>
              </w:tc>
            </w:tr>
            <w:tr w14:paraId="6DF3A48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573B3C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w:t>
                  </w:r>
                </w:p>
              </w:tc>
              <w:tc>
                <w:tcPr>
                  <w:tcW w:w="240" w:type="pct"/>
                  <w:noWrap w:val="0"/>
                  <w:vAlign w:val="center"/>
                </w:tcPr>
                <w:p w14:paraId="3AB003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9BCE1E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3602315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土壤检测点3</w:t>
                  </w:r>
                </w:p>
              </w:tc>
              <w:tc>
                <w:tcPr>
                  <w:tcW w:w="858" w:type="pct"/>
                  <w:noWrap w:val="0"/>
                  <w:vAlign w:val="center"/>
                </w:tcPr>
                <w:p w14:paraId="4D164A2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209" w:type="pct"/>
                  <w:noWrap w:val="0"/>
                  <w:vAlign w:val="center"/>
                </w:tcPr>
                <w:p w14:paraId="04457E4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3851BE6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153588D">
                  <w:pPr>
                    <w:widowControl w:val="0"/>
                    <w:jc w:val="both"/>
                    <w:rPr>
                      <w:rFonts w:ascii="Calibri" w:hAnsi="Calibri"/>
                      <w:kern w:val="2"/>
                      <w:sz w:val="21"/>
                      <w:lang w:val="en-US" w:eastAsia="zh-CN" w:bidi="ar-SA"/>
                    </w:rPr>
                  </w:pPr>
                </w:p>
              </w:tc>
              <w:tc>
                <w:tcPr>
                  <w:tcW w:w="0" w:type="auto"/>
                  <w:noWrap w:val="0"/>
                  <w:vAlign w:val="center"/>
                </w:tcPr>
                <w:p w14:paraId="36116710">
                  <w:pPr>
                    <w:widowControl w:val="0"/>
                    <w:jc w:val="both"/>
                    <w:rPr>
                      <w:rFonts w:ascii="Calibri" w:hAnsi="Calibri"/>
                      <w:kern w:val="2"/>
                      <w:sz w:val="21"/>
                      <w:lang w:val="en-US" w:eastAsia="zh-CN" w:bidi="ar-SA"/>
                    </w:rPr>
                  </w:pPr>
                </w:p>
              </w:tc>
              <w:tc>
                <w:tcPr>
                  <w:tcW w:w="0" w:type="auto"/>
                  <w:noWrap w:val="0"/>
                  <w:vAlign w:val="center"/>
                </w:tcPr>
                <w:p w14:paraId="20DB38EB">
                  <w:pPr>
                    <w:widowControl w:val="0"/>
                    <w:jc w:val="both"/>
                    <w:rPr>
                      <w:rFonts w:ascii="Calibri" w:hAnsi="Calibri"/>
                      <w:kern w:val="2"/>
                      <w:sz w:val="21"/>
                      <w:lang w:val="en-US" w:eastAsia="zh-CN" w:bidi="ar-SA"/>
                    </w:rPr>
                  </w:pPr>
                </w:p>
              </w:tc>
              <w:tc>
                <w:tcPr>
                  <w:tcW w:w="0" w:type="auto"/>
                  <w:noWrap w:val="0"/>
                  <w:vAlign w:val="center"/>
                </w:tcPr>
                <w:p w14:paraId="3AE45EC8">
                  <w:pPr>
                    <w:widowControl w:val="0"/>
                    <w:jc w:val="both"/>
                    <w:rPr>
                      <w:rFonts w:ascii="Calibri" w:hAnsi="Calibri"/>
                      <w:kern w:val="2"/>
                      <w:sz w:val="21"/>
                      <w:lang w:val="en-US" w:eastAsia="zh-CN" w:bidi="ar-SA"/>
                    </w:rPr>
                  </w:pPr>
                </w:p>
              </w:tc>
              <w:tc>
                <w:tcPr>
                  <w:tcW w:w="0" w:type="auto"/>
                  <w:noWrap w:val="0"/>
                  <w:vAlign w:val="center"/>
                </w:tcPr>
                <w:p w14:paraId="6EE181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C43BC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820F29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12298-2021《土壤 有效硼的测定》</w:t>
                  </w:r>
                </w:p>
              </w:tc>
              <w:tc>
                <w:tcPr>
                  <w:tcW w:w="83" w:type="pct"/>
                  <w:noWrap w:val="0"/>
                  <w:vAlign w:val="center"/>
                </w:tcPr>
                <w:p w14:paraId="67F8D09A">
                  <w:pPr>
                    <w:widowControl w:val="0"/>
                    <w:jc w:val="both"/>
                    <w:rPr>
                      <w:rFonts w:ascii="Calibri" w:hAnsi="Calibri"/>
                      <w:kern w:val="2"/>
                      <w:sz w:val="21"/>
                      <w:lang w:val="en-US" w:eastAsia="zh-CN" w:bidi="ar-SA"/>
                    </w:rPr>
                  </w:pPr>
                </w:p>
              </w:tc>
            </w:tr>
            <w:tr w14:paraId="2E70109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BA08E9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w:t>
                  </w:r>
                </w:p>
              </w:tc>
              <w:tc>
                <w:tcPr>
                  <w:tcW w:w="240" w:type="pct"/>
                  <w:noWrap w:val="0"/>
                  <w:vAlign w:val="center"/>
                </w:tcPr>
                <w:p w14:paraId="49AEDF5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4C6DC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371A079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5F92ED9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209" w:type="pct"/>
                  <w:noWrap w:val="0"/>
                  <w:vAlign w:val="center"/>
                </w:tcPr>
                <w:p w14:paraId="6E9CBA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17FCD6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02D61FE">
                  <w:pPr>
                    <w:widowControl w:val="0"/>
                    <w:jc w:val="both"/>
                    <w:rPr>
                      <w:rFonts w:ascii="Calibri" w:hAnsi="Calibri"/>
                      <w:kern w:val="2"/>
                      <w:sz w:val="21"/>
                      <w:lang w:val="en-US" w:eastAsia="zh-CN" w:bidi="ar-SA"/>
                    </w:rPr>
                  </w:pPr>
                </w:p>
              </w:tc>
              <w:tc>
                <w:tcPr>
                  <w:tcW w:w="0" w:type="auto"/>
                  <w:noWrap w:val="0"/>
                  <w:vAlign w:val="center"/>
                </w:tcPr>
                <w:p w14:paraId="7AEFFB7F">
                  <w:pPr>
                    <w:widowControl w:val="0"/>
                    <w:jc w:val="both"/>
                    <w:rPr>
                      <w:rFonts w:ascii="Calibri" w:hAnsi="Calibri"/>
                      <w:kern w:val="2"/>
                      <w:sz w:val="21"/>
                      <w:lang w:val="en-US" w:eastAsia="zh-CN" w:bidi="ar-SA"/>
                    </w:rPr>
                  </w:pPr>
                </w:p>
              </w:tc>
              <w:tc>
                <w:tcPr>
                  <w:tcW w:w="0" w:type="auto"/>
                  <w:noWrap w:val="0"/>
                  <w:vAlign w:val="center"/>
                </w:tcPr>
                <w:p w14:paraId="1689696D">
                  <w:pPr>
                    <w:widowControl w:val="0"/>
                    <w:jc w:val="both"/>
                    <w:rPr>
                      <w:rFonts w:ascii="Calibri" w:hAnsi="Calibri"/>
                      <w:kern w:val="2"/>
                      <w:sz w:val="21"/>
                      <w:lang w:val="en-US" w:eastAsia="zh-CN" w:bidi="ar-SA"/>
                    </w:rPr>
                  </w:pPr>
                </w:p>
              </w:tc>
              <w:tc>
                <w:tcPr>
                  <w:tcW w:w="0" w:type="auto"/>
                  <w:noWrap w:val="0"/>
                  <w:vAlign w:val="center"/>
                </w:tcPr>
                <w:p w14:paraId="0E50A909">
                  <w:pPr>
                    <w:widowControl w:val="0"/>
                    <w:jc w:val="both"/>
                    <w:rPr>
                      <w:rFonts w:ascii="Calibri" w:hAnsi="Calibri"/>
                      <w:kern w:val="2"/>
                      <w:sz w:val="21"/>
                      <w:lang w:val="en-US" w:eastAsia="zh-CN" w:bidi="ar-SA"/>
                    </w:rPr>
                  </w:pPr>
                </w:p>
              </w:tc>
              <w:tc>
                <w:tcPr>
                  <w:tcW w:w="0" w:type="auto"/>
                  <w:noWrap w:val="0"/>
                  <w:vAlign w:val="center"/>
                </w:tcPr>
                <w:p w14:paraId="7398140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D23A1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6BB3E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12298-2021《土壤 有效硼的测定》</w:t>
                  </w:r>
                </w:p>
              </w:tc>
              <w:tc>
                <w:tcPr>
                  <w:tcW w:w="83" w:type="pct"/>
                  <w:noWrap w:val="0"/>
                  <w:vAlign w:val="center"/>
                </w:tcPr>
                <w:p w14:paraId="505A9281">
                  <w:pPr>
                    <w:widowControl w:val="0"/>
                    <w:jc w:val="both"/>
                    <w:rPr>
                      <w:rFonts w:ascii="Calibri" w:hAnsi="Calibri"/>
                      <w:kern w:val="2"/>
                      <w:sz w:val="21"/>
                      <w:lang w:val="en-US" w:eastAsia="zh-CN" w:bidi="ar-SA"/>
                    </w:rPr>
                  </w:pPr>
                </w:p>
              </w:tc>
            </w:tr>
            <w:tr w14:paraId="0210CC8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E5FBA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w:t>
                  </w:r>
                </w:p>
              </w:tc>
              <w:tc>
                <w:tcPr>
                  <w:tcW w:w="240" w:type="pct"/>
                  <w:noWrap w:val="0"/>
                  <w:vAlign w:val="center"/>
                </w:tcPr>
                <w:p w14:paraId="5FB6892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66BB6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50F6955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1C084C6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209" w:type="pct"/>
                  <w:noWrap w:val="0"/>
                  <w:vAlign w:val="center"/>
                </w:tcPr>
                <w:p w14:paraId="4690595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5319F12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CE00478">
                  <w:pPr>
                    <w:widowControl w:val="0"/>
                    <w:jc w:val="both"/>
                    <w:rPr>
                      <w:rFonts w:ascii="Calibri" w:hAnsi="Calibri"/>
                      <w:kern w:val="2"/>
                      <w:sz w:val="21"/>
                      <w:lang w:val="en-US" w:eastAsia="zh-CN" w:bidi="ar-SA"/>
                    </w:rPr>
                  </w:pPr>
                </w:p>
              </w:tc>
              <w:tc>
                <w:tcPr>
                  <w:tcW w:w="0" w:type="auto"/>
                  <w:noWrap w:val="0"/>
                  <w:vAlign w:val="center"/>
                </w:tcPr>
                <w:p w14:paraId="4B96331F">
                  <w:pPr>
                    <w:widowControl w:val="0"/>
                    <w:jc w:val="both"/>
                    <w:rPr>
                      <w:rFonts w:ascii="Calibri" w:hAnsi="Calibri"/>
                      <w:kern w:val="2"/>
                      <w:sz w:val="21"/>
                      <w:lang w:val="en-US" w:eastAsia="zh-CN" w:bidi="ar-SA"/>
                    </w:rPr>
                  </w:pPr>
                </w:p>
              </w:tc>
              <w:tc>
                <w:tcPr>
                  <w:tcW w:w="0" w:type="auto"/>
                  <w:noWrap w:val="0"/>
                  <w:vAlign w:val="center"/>
                </w:tcPr>
                <w:p w14:paraId="290D7DE6">
                  <w:pPr>
                    <w:widowControl w:val="0"/>
                    <w:jc w:val="both"/>
                    <w:rPr>
                      <w:rFonts w:ascii="Calibri" w:hAnsi="Calibri"/>
                      <w:kern w:val="2"/>
                      <w:sz w:val="21"/>
                      <w:lang w:val="en-US" w:eastAsia="zh-CN" w:bidi="ar-SA"/>
                    </w:rPr>
                  </w:pPr>
                </w:p>
              </w:tc>
              <w:tc>
                <w:tcPr>
                  <w:tcW w:w="0" w:type="auto"/>
                  <w:noWrap w:val="0"/>
                  <w:vAlign w:val="center"/>
                </w:tcPr>
                <w:p w14:paraId="51FAA13C">
                  <w:pPr>
                    <w:widowControl w:val="0"/>
                    <w:jc w:val="both"/>
                    <w:rPr>
                      <w:rFonts w:ascii="Calibri" w:hAnsi="Calibri"/>
                      <w:kern w:val="2"/>
                      <w:sz w:val="21"/>
                      <w:lang w:val="en-US" w:eastAsia="zh-CN" w:bidi="ar-SA"/>
                    </w:rPr>
                  </w:pPr>
                </w:p>
              </w:tc>
              <w:tc>
                <w:tcPr>
                  <w:tcW w:w="0" w:type="auto"/>
                  <w:noWrap w:val="0"/>
                  <w:vAlign w:val="center"/>
                </w:tcPr>
                <w:p w14:paraId="11CC26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00257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F4A7C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12298-2021《土壤 有效硼的测定》</w:t>
                  </w:r>
                </w:p>
              </w:tc>
              <w:tc>
                <w:tcPr>
                  <w:tcW w:w="83" w:type="pct"/>
                  <w:noWrap w:val="0"/>
                  <w:vAlign w:val="center"/>
                </w:tcPr>
                <w:p w14:paraId="49AD7C00">
                  <w:pPr>
                    <w:widowControl w:val="0"/>
                    <w:jc w:val="both"/>
                    <w:rPr>
                      <w:rFonts w:ascii="Calibri" w:hAnsi="Calibri"/>
                      <w:kern w:val="2"/>
                      <w:sz w:val="21"/>
                      <w:lang w:val="en-US" w:eastAsia="zh-CN" w:bidi="ar-SA"/>
                    </w:rPr>
                  </w:pPr>
                </w:p>
              </w:tc>
            </w:tr>
            <w:tr w14:paraId="2A88114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ECB867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w:t>
                  </w:r>
                </w:p>
              </w:tc>
              <w:tc>
                <w:tcPr>
                  <w:tcW w:w="240" w:type="pct"/>
                  <w:noWrap w:val="0"/>
                  <w:vAlign w:val="center"/>
                </w:tcPr>
                <w:p w14:paraId="15A62A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25B7D1C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9D133C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139D13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209" w:type="pct"/>
                  <w:noWrap w:val="0"/>
                  <w:vAlign w:val="center"/>
                </w:tcPr>
                <w:p w14:paraId="1332A57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6A615E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2FCF8F1">
                  <w:pPr>
                    <w:widowControl w:val="0"/>
                    <w:jc w:val="both"/>
                    <w:rPr>
                      <w:rFonts w:ascii="Calibri" w:hAnsi="Calibri"/>
                      <w:kern w:val="2"/>
                      <w:sz w:val="21"/>
                      <w:lang w:val="en-US" w:eastAsia="zh-CN" w:bidi="ar-SA"/>
                    </w:rPr>
                  </w:pPr>
                </w:p>
              </w:tc>
              <w:tc>
                <w:tcPr>
                  <w:tcW w:w="0" w:type="auto"/>
                  <w:noWrap w:val="0"/>
                  <w:vAlign w:val="center"/>
                </w:tcPr>
                <w:p w14:paraId="61DCCDC8">
                  <w:pPr>
                    <w:widowControl w:val="0"/>
                    <w:jc w:val="both"/>
                    <w:rPr>
                      <w:rFonts w:ascii="Calibri" w:hAnsi="Calibri"/>
                      <w:kern w:val="2"/>
                      <w:sz w:val="21"/>
                      <w:lang w:val="en-US" w:eastAsia="zh-CN" w:bidi="ar-SA"/>
                    </w:rPr>
                  </w:pPr>
                </w:p>
              </w:tc>
              <w:tc>
                <w:tcPr>
                  <w:tcW w:w="0" w:type="auto"/>
                  <w:noWrap w:val="0"/>
                  <w:vAlign w:val="center"/>
                </w:tcPr>
                <w:p w14:paraId="56A0A5BA">
                  <w:pPr>
                    <w:widowControl w:val="0"/>
                    <w:jc w:val="both"/>
                    <w:rPr>
                      <w:rFonts w:ascii="Calibri" w:hAnsi="Calibri"/>
                      <w:kern w:val="2"/>
                      <w:sz w:val="21"/>
                      <w:lang w:val="en-US" w:eastAsia="zh-CN" w:bidi="ar-SA"/>
                    </w:rPr>
                  </w:pPr>
                </w:p>
              </w:tc>
              <w:tc>
                <w:tcPr>
                  <w:tcW w:w="0" w:type="auto"/>
                  <w:noWrap w:val="0"/>
                  <w:vAlign w:val="center"/>
                </w:tcPr>
                <w:p w14:paraId="404D8FFE">
                  <w:pPr>
                    <w:widowControl w:val="0"/>
                    <w:jc w:val="both"/>
                    <w:rPr>
                      <w:rFonts w:ascii="Calibri" w:hAnsi="Calibri"/>
                      <w:kern w:val="2"/>
                      <w:sz w:val="21"/>
                      <w:lang w:val="en-US" w:eastAsia="zh-CN" w:bidi="ar-SA"/>
                    </w:rPr>
                  </w:pPr>
                </w:p>
              </w:tc>
              <w:tc>
                <w:tcPr>
                  <w:tcW w:w="0" w:type="auto"/>
                  <w:noWrap w:val="0"/>
                  <w:vAlign w:val="center"/>
                </w:tcPr>
                <w:p w14:paraId="2B62231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F04A5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2BD0B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12298-2021《土壤 有效硼的测定》</w:t>
                  </w:r>
                </w:p>
              </w:tc>
              <w:tc>
                <w:tcPr>
                  <w:tcW w:w="83" w:type="pct"/>
                  <w:noWrap w:val="0"/>
                  <w:vAlign w:val="center"/>
                </w:tcPr>
                <w:p w14:paraId="04FC558C">
                  <w:pPr>
                    <w:widowControl w:val="0"/>
                    <w:jc w:val="both"/>
                    <w:rPr>
                      <w:rFonts w:ascii="Calibri" w:hAnsi="Calibri"/>
                      <w:kern w:val="2"/>
                      <w:sz w:val="21"/>
                      <w:lang w:val="en-US" w:eastAsia="zh-CN" w:bidi="ar-SA"/>
                    </w:rPr>
                  </w:pPr>
                </w:p>
              </w:tc>
            </w:tr>
            <w:tr w14:paraId="73735A6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221AE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w:t>
                  </w:r>
                </w:p>
              </w:tc>
              <w:tc>
                <w:tcPr>
                  <w:tcW w:w="240" w:type="pct"/>
                  <w:noWrap w:val="0"/>
                  <w:vAlign w:val="center"/>
                </w:tcPr>
                <w:p w14:paraId="2092AB8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80695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2520DD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588F2E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209" w:type="pct"/>
                  <w:noWrap w:val="0"/>
                  <w:vAlign w:val="center"/>
                </w:tcPr>
                <w:p w14:paraId="55C9EE8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4ACDCBD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3F6E314">
                  <w:pPr>
                    <w:widowControl w:val="0"/>
                    <w:jc w:val="both"/>
                    <w:rPr>
                      <w:rFonts w:ascii="Calibri" w:hAnsi="Calibri"/>
                      <w:kern w:val="2"/>
                      <w:sz w:val="21"/>
                      <w:lang w:val="en-US" w:eastAsia="zh-CN" w:bidi="ar-SA"/>
                    </w:rPr>
                  </w:pPr>
                </w:p>
              </w:tc>
              <w:tc>
                <w:tcPr>
                  <w:tcW w:w="0" w:type="auto"/>
                  <w:noWrap w:val="0"/>
                  <w:vAlign w:val="center"/>
                </w:tcPr>
                <w:p w14:paraId="6143289B">
                  <w:pPr>
                    <w:widowControl w:val="0"/>
                    <w:jc w:val="both"/>
                    <w:rPr>
                      <w:rFonts w:ascii="Calibri" w:hAnsi="Calibri"/>
                      <w:kern w:val="2"/>
                      <w:sz w:val="21"/>
                      <w:lang w:val="en-US" w:eastAsia="zh-CN" w:bidi="ar-SA"/>
                    </w:rPr>
                  </w:pPr>
                </w:p>
              </w:tc>
              <w:tc>
                <w:tcPr>
                  <w:tcW w:w="0" w:type="auto"/>
                  <w:noWrap w:val="0"/>
                  <w:vAlign w:val="center"/>
                </w:tcPr>
                <w:p w14:paraId="0B35161F">
                  <w:pPr>
                    <w:widowControl w:val="0"/>
                    <w:jc w:val="both"/>
                    <w:rPr>
                      <w:rFonts w:ascii="Calibri" w:hAnsi="Calibri"/>
                      <w:kern w:val="2"/>
                      <w:sz w:val="21"/>
                      <w:lang w:val="en-US" w:eastAsia="zh-CN" w:bidi="ar-SA"/>
                    </w:rPr>
                  </w:pPr>
                </w:p>
              </w:tc>
              <w:tc>
                <w:tcPr>
                  <w:tcW w:w="0" w:type="auto"/>
                  <w:noWrap w:val="0"/>
                  <w:vAlign w:val="center"/>
                </w:tcPr>
                <w:p w14:paraId="4260E09C">
                  <w:pPr>
                    <w:widowControl w:val="0"/>
                    <w:jc w:val="both"/>
                    <w:rPr>
                      <w:rFonts w:ascii="Calibri" w:hAnsi="Calibri"/>
                      <w:kern w:val="2"/>
                      <w:sz w:val="21"/>
                      <w:lang w:val="en-US" w:eastAsia="zh-CN" w:bidi="ar-SA"/>
                    </w:rPr>
                  </w:pPr>
                </w:p>
              </w:tc>
              <w:tc>
                <w:tcPr>
                  <w:tcW w:w="0" w:type="auto"/>
                  <w:noWrap w:val="0"/>
                  <w:vAlign w:val="center"/>
                </w:tcPr>
                <w:p w14:paraId="6775DA3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33AB7C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BA538F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12298-2021《土壤 有效硼的测定》</w:t>
                  </w:r>
                </w:p>
              </w:tc>
              <w:tc>
                <w:tcPr>
                  <w:tcW w:w="83" w:type="pct"/>
                  <w:noWrap w:val="0"/>
                  <w:vAlign w:val="center"/>
                </w:tcPr>
                <w:p w14:paraId="3A8FCA24">
                  <w:pPr>
                    <w:widowControl w:val="0"/>
                    <w:jc w:val="both"/>
                    <w:rPr>
                      <w:rFonts w:ascii="Calibri" w:hAnsi="Calibri"/>
                      <w:kern w:val="2"/>
                      <w:sz w:val="21"/>
                      <w:lang w:val="en-US" w:eastAsia="zh-CN" w:bidi="ar-SA"/>
                    </w:rPr>
                  </w:pPr>
                </w:p>
              </w:tc>
            </w:tr>
            <w:tr w14:paraId="4AFEA28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D17BF1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w:t>
                  </w:r>
                </w:p>
              </w:tc>
              <w:tc>
                <w:tcPr>
                  <w:tcW w:w="240" w:type="pct"/>
                  <w:noWrap w:val="0"/>
                  <w:vAlign w:val="center"/>
                </w:tcPr>
                <w:p w14:paraId="714313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0ADFC4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7D20AD1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4BC818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209" w:type="pct"/>
                  <w:noWrap w:val="0"/>
                  <w:vAlign w:val="center"/>
                </w:tcPr>
                <w:p w14:paraId="3242A9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5A6B58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541746C">
                  <w:pPr>
                    <w:widowControl w:val="0"/>
                    <w:jc w:val="both"/>
                    <w:rPr>
                      <w:rFonts w:ascii="Calibri" w:hAnsi="Calibri"/>
                      <w:kern w:val="2"/>
                      <w:sz w:val="21"/>
                      <w:lang w:val="en-US" w:eastAsia="zh-CN" w:bidi="ar-SA"/>
                    </w:rPr>
                  </w:pPr>
                </w:p>
              </w:tc>
              <w:tc>
                <w:tcPr>
                  <w:tcW w:w="0" w:type="auto"/>
                  <w:noWrap w:val="0"/>
                  <w:vAlign w:val="center"/>
                </w:tcPr>
                <w:p w14:paraId="7DC748B9">
                  <w:pPr>
                    <w:widowControl w:val="0"/>
                    <w:jc w:val="both"/>
                    <w:rPr>
                      <w:rFonts w:ascii="Calibri" w:hAnsi="Calibri"/>
                      <w:kern w:val="2"/>
                      <w:sz w:val="21"/>
                      <w:lang w:val="en-US" w:eastAsia="zh-CN" w:bidi="ar-SA"/>
                    </w:rPr>
                  </w:pPr>
                </w:p>
              </w:tc>
              <w:tc>
                <w:tcPr>
                  <w:tcW w:w="0" w:type="auto"/>
                  <w:noWrap w:val="0"/>
                  <w:vAlign w:val="center"/>
                </w:tcPr>
                <w:p w14:paraId="75FB8A1A">
                  <w:pPr>
                    <w:widowControl w:val="0"/>
                    <w:jc w:val="both"/>
                    <w:rPr>
                      <w:rFonts w:ascii="Calibri" w:hAnsi="Calibri"/>
                      <w:kern w:val="2"/>
                      <w:sz w:val="21"/>
                      <w:lang w:val="en-US" w:eastAsia="zh-CN" w:bidi="ar-SA"/>
                    </w:rPr>
                  </w:pPr>
                </w:p>
              </w:tc>
              <w:tc>
                <w:tcPr>
                  <w:tcW w:w="0" w:type="auto"/>
                  <w:noWrap w:val="0"/>
                  <w:vAlign w:val="center"/>
                </w:tcPr>
                <w:p w14:paraId="7F32ED40">
                  <w:pPr>
                    <w:widowControl w:val="0"/>
                    <w:jc w:val="both"/>
                    <w:rPr>
                      <w:rFonts w:ascii="Calibri" w:hAnsi="Calibri"/>
                      <w:kern w:val="2"/>
                      <w:sz w:val="21"/>
                      <w:lang w:val="en-US" w:eastAsia="zh-CN" w:bidi="ar-SA"/>
                    </w:rPr>
                  </w:pPr>
                </w:p>
              </w:tc>
              <w:tc>
                <w:tcPr>
                  <w:tcW w:w="0" w:type="auto"/>
                  <w:noWrap w:val="0"/>
                  <w:vAlign w:val="center"/>
                </w:tcPr>
                <w:p w14:paraId="504DDC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168BC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C7BE78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12298-2021《土壤 有效硼的测定》</w:t>
                  </w:r>
                </w:p>
              </w:tc>
              <w:tc>
                <w:tcPr>
                  <w:tcW w:w="83" w:type="pct"/>
                  <w:noWrap w:val="0"/>
                  <w:vAlign w:val="center"/>
                </w:tcPr>
                <w:p w14:paraId="347D55D3">
                  <w:pPr>
                    <w:widowControl w:val="0"/>
                    <w:jc w:val="both"/>
                    <w:rPr>
                      <w:rFonts w:ascii="Calibri" w:hAnsi="Calibri"/>
                      <w:kern w:val="2"/>
                      <w:sz w:val="21"/>
                      <w:lang w:val="en-US" w:eastAsia="zh-CN" w:bidi="ar-SA"/>
                    </w:rPr>
                  </w:pPr>
                </w:p>
              </w:tc>
            </w:tr>
            <w:tr w14:paraId="6DAB19D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B9B47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17</w:t>
                  </w:r>
                </w:p>
              </w:tc>
              <w:tc>
                <w:tcPr>
                  <w:tcW w:w="240" w:type="pct"/>
                  <w:noWrap w:val="0"/>
                  <w:vAlign w:val="center"/>
                </w:tcPr>
                <w:p w14:paraId="441724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CE01C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8D7FD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44C9E1C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1B4852A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20B0A5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5684241">
                  <w:pPr>
                    <w:widowControl w:val="0"/>
                    <w:jc w:val="both"/>
                    <w:rPr>
                      <w:rFonts w:ascii="Calibri" w:hAnsi="Calibri"/>
                      <w:kern w:val="2"/>
                      <w:sz w:val="21"/>
                      <w:lang w:val="en-US" w:eastAsia="zh-CN" w:bidi="ar-SA"/>
                    </w:rPr>
                  </w:pPr>
                </w:p>
              </w:tc>
              <w:tc>
                <w:tcPr>
                  <w:tcW w:w="0" w:type="auto"/>
                  <w:noWrap w:val="0"/>
                  <w:vAlign w:val="center"/>
                </w:tcPr>
                <w:p w14:paraId="1FD044F4">
                  <w:pPr>
                    <w:widowControl w:val="0"/>
                    <w:jc w:val="both"/>
                    <w:rPr>
                      <w:rFonts w:ascii="Calibri" w:hAnsi="Calibri"/>
                      <w:kern w:val="2"/>
                      <w:sz w:val="21"/>
                      <w:lang w:val="en-US" w:eastAsia="zh-CN" w:bidi="ar-SA"/>
                    </w:rPr>
                  </w:pPr>
                </w:p>
              </w:tc>
              <w:tc>
                <w:tcPr>
                  <w:tcW w:w="0" w:type="auto"/>
                  <w:noWrap w:val="0"/>
                  <w:vAlign w:val="center"/>
                </w:tcPr>
                <w:p w14:paraId="7D829AA8">
                  <w:pPr>
                    <w:widowControl w:val="0"/>
                    <w:jc w:val="both"/>
                    <w:rPr>
                      <w:rFonts w:ascii="Calibri" w:hAnsi="Calibri"/>
                      <w:kern w:val="2"/>
                      <w:sz w:val="21"/>
                      <w:lang w:val="en-US" w:eastAsia="zh-CN" w:bidi="ar-SA"/>
                    </w:rPr>
                  </w:pPr>
                </w:p>
              </w:tc>
              <w:tc>
                <w:tcPr>
                  <w:tcW w:w="0" w:type="auto"/>
                  <w:noWrap w:val="0"/>
                  <w:vAlign w:val="center"/>
                </w:tcPr>
                <w:p w14:paraId="0FB6C53A">
                  <w:pPr>
                    <w:widowControl w:val="0"/>
                    <w:jc w:val="both"/>
                    <w:rPr>
                      <w:rFonts w:ascii="Calibri" w:hAnsi="Calibri"/>
                      <w:kern w:val="2"/>
                      <w:sz w:val="21"/>
                      <w:lang w:val="en-US" w:eastAsia="zh-CN" w:bidi="ar-SA"/>
                    </w:rPr>
                  </w:pPr>
                </w:p>
              </w:tc>
              <w:tc>
                <w:tcPr>
                  <w:tcW w:w="0" w:type="auto"/>
                  <w:noWrap w:val="0"/>
                  <w:vAlign w:val="center"/>
                </w:tcPr>
                <w:p w14:paraId="4B5172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C9F3C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C0FE9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6298CA0E">
                  <w:pPr>
                    <w:widowControl w:val="0"/>
                    <w:jc w:val="both"/>
                    <w:rPr>
                      <w:rFonts w:ascii="Calibri" w:hAnsi="Calibri"/>
                      <w:kern w:val="2"/>
                      <w:sz w:val="21"/>
                      <w:lang w:val="en-US" w:eastAsia="zh-CN" w:bidi="ar-SA"/>
                    </w:rPr>
                  </w:pPr>
                </w:p>
              </w:tc>
            </w:tr>
            <w:tr w14:paraId="3D73917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341BB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18</w:t>
                  </w:r>
                </w:p>
              </w:tc>
              <w:tc>
                <w:tcPr>
                  <w:tcW w:w="240" w:type="pct"/>
                  <w:noWrap w:val="0"/>
                  <w:vAlign w:val="center"/>
                </w:tcPr>
                <w:p w14:paraId="12F3F3B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B7A5E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769440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55945A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4A3878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3B2C2AC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121498F">
                  <w:pPr>
                    <w:widowControl w:val="0"/>
                    <w:jc w:val="both"/>
                    <w:rPr>
                      <w:rFonts w:ascii="Calibri" w:hAnsi="Calibri"/>
                      <w:kern w:val="2"/>
                      <w:sz w:val="21"/>
                      <w:lang w:val="en-US" w:eastAsia="zh-CN" w:bidi="ar-SA"/>
                    </w:rPr>
                  </w:pPr>
                </w:p>
              </w:tc>
              <w:tc>
                <w:tcPr>
                  <w:tcW w:w="0" w:type="auto"/>
                  <w:noWrap w:val="0"/>
                  <w:vAlign w:val="center"/>
                </w:tcPr>
                <w:p w14:paraId="290AAE1D">
                  <w:pPr>
                    <w:widowControl w:val="0"/>
                    <w:jc w:val="both"/>
                    <w:rPr>
                      <w:rFonts w:ascii="Calibri" w:hAnsi="Calibri"/>
                      <w:kern w:val="2"/>
                      <w:sz w:val="21"/>
                      <w:lang w:val="en-US" w:eastAsia="zh-CN" w:bidi="ar-SA"/>
                    </w:rPr>
                  </w:pPr>
                </w:p>
              </w:tc>
              <w:tc>
                <w:tcPr>
                  <w:tcW w:w="0" w:type="auto"/>
                  <w:noWrap w:val="0"/>
                  <w:vAlign w:val="center"/>
                </w:tcPr>
                <w:p w14:paraId="338DAD77">
                  <w:pPr>
                    <w:widowControl w:val="0"/>
                    <w:jc w:val="both"/>
                    <w:rPr>
                      <w:rFonts w:ascii="Calibri" w:hAnsi="Calibri"/>
                      <w:kern w:val="2"/>
                      <w:sz w:val="21"/>
                      <w:lang w:val="en-US" w:eastAsia="zh-CN" w:bidi="ar-SA"/>
                    </w:rPr>
                  </w:pPr>
                </w:p>
              </w:tc>
              <w:tc>
                <w:tcPr>
                  <w:tcW w:w="0" w:type="auto"/>
                  <w:noWrap w:val="0"/>
                  <w:vAlign w:val="center"/>
                </w:tcPr>
                <w:p w14:paraId="748D07B7">
                  <w:pPr>
                    <w:widowControl w:val="0"/>
                    <w:jc w:val="both"/>
                    <w:rPr>
                      <w:rFonts w:ascii="Calibri" w:hAnsi="Calibri"/>
                      <w:kern w:val="2"/>
                      <w:sz w:val="21"/>
                      <w:lang w:val="en-US" w:eastAsia="zh-CN" w:bidi="ar-SA"/>
                    </w:rPr>
                  </w:pPr>
                </w:p>
              </w:tc>
              <w:tc>
                <w:tcPr>
                  <w:tcW w:w="0" w:type="auto"/>
                  <w:noWrap w:val="0"/>
                  <w:vAlign w:val="center"/>
                </w:tcPr>
                <w:p w14:paraId="4AA8C95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04045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1FD0D9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1B2D877B">
                  <w:pPr>
                    <w:widowControl w:val="0"/>
                    <w:jc w:val="both"/>
                    <w:rPr>
                      <w:rFonts w:ascii="Calibri" w:hAnsi="Calibri"/>
                      <w:kern w:val="2"/>
                      <w:sz w:val="21"/>
                      <w:lang w:val="en-US" w:eastAsia="zh-CN" w:bidi="ar-SA"/>
                    </w:rPr>
                  </w:pPr>
                </w:p>
              </w:tc>
            </w:tr>
            <w:tr w14:paraId="28274F9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20E24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19</w:t>
                  </w:r>
                </w:p>
              </w:tc>
              <w:tc>
                <w:tcPr>
                  <w:tcW w:w="240" w:type="pct"/>
                  <w:noWrap w:val="0"/>
                  <w:vAlign w:val="center"/>
                </w:tcPr>
                <w:p w14:paraId="260EC56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34769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E5FA47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09E175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654312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5E7F501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DED1366">
                  <w:pPr>
                    <w:widowControl w:val="0"/>
                    <w:jc w:val="both"/>
                    <w:rPr>
                      <w:rFonts w:ascii="Calibri" w:hAnsi="Calibri"/>
                      <w:kern w:val="2"/>
                      <w:sz w:val="21"/>
                      <w:lang w:val="en-US" w:eastAsia="zh-CN" w:bidi="ar-SA"/>
                    </w:rPr>
                  </w:pPr>
                </w:p>
              </w:tc>
              <w:tc>
                <w:tcPr>
                  <w:tcW w:w="0" w:type="auto"/>
                  <w:noWrap w:val="0"/>
                  <w:vAlign w:val="center"/>
                </w:tcPr>
                <w:p w14:paraId="66D5C9C5">
                  <w:pPr>
                    <w:widowControl w:val="0"/>
                    <w:jc w:val="both"/>
                    <w:rPr>
                      <w:rFonts w:ascii="Calibri" w:hAnsi="Calibri"/>
                      <w:kern w:val="2"/>
                      <w:sz w:val="21"/>
                      <w:lang w:val="en-US" w:eastAsia="zh-CN" w:bidi="ar-SA"/>
                    </w:rPr>
                  </w:pPr>
                </w:p>
              </w:tc>
              <w:tc>
                <w:tcPr>
                  <w:tcW w:w="0" w:type="auto"/>
                  <w:noWrap w:val="0"/>
                  <w:vAlign w:val="center"/>
                </w:tcPr>
                <w:p w14:paraId="18A6FAF5">
                  <w:pPr>
                    <w:widowControl w:val="0"/>
                    <w:jc w:val="both"/>
                    <w:rPr>
                      <w:rFonts w:ascii="Calibri" w:hAnsi="Calibri"/>
                      <w:kern w:val="2"/>
                      <w:sz w:val="21"/>
                      <w:lang w:val="en-US" w:eastAsia="zh-CN" w:bidi="ar-SA"/>
                    </w:rPr>
                  </w:pPr>
                </w:p>
              </w:tc>
              <w:tc>
                <w:tcPr>
                  <w:tcW w:w="0" w:type="auto"/>
                  <w:noWrap w:val="0"/>
                  <w:vAlign w:val="center"/>
                </w:tcPr>
                <w:p w14:paraId="0ED5D18A">
                  <w:pPr>
                    <w:widowControl w:val="0"/>
                    <w:jc w:val="both"/>
                    <w:rPr>
                      <w:rFonts w:ascii="Calibri" w:hAnsi="Calibri"/>
                      <w:kern w:val="2"/>
                      <w:sz w:val="21"/>
                      <w:lang w:val="en-US" w:eastAsia="zh-CN" w:bidi="ar-SA"/>
                    </w:rPr>
                  </w:pPr>
                </w:p>
              </w:tc>
              <w:tc>
                <w:tcPr>
                  <w:tcW w:w="0" w:type="auto"/>
                  <w:noWrap w:val="0"/>
                  <w:vAlign w:val="center"/>
                </w:tcPr>
                <w:p w14:paraId="1A32E6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F4F20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C5133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5833003B">
                  <w:pPr>
                    <w:widowControl w:val="0"/>
                    <w:jc w:val="both"/>
                    <w:rPr>
                      <w:rFonts w:ascii="Calibri" w:hAnsi="Calibri"/>
                      <w:kern w:val="2"/>
                      <w:sz w:val="21"/>
                      <w:lang w:val="en-US" w:eastAsia="zh-CN" w:bidi="ar-SA"/>
                    </w:rPr>
                  </w:pPr>
                </w:p>
              </w:tc>
            </w:tr>
            <w:tr w14:paraId="598AB85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66CAD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20</w:t>
                  </w:r>
                </w:p>
              </w:tc>
              <w:tc>
                <w:tcPr>
                  <w:tcW w:w="240" w:type="pct"/>
                  <w:noWrap w:val="0"/>
                  <w:vAlign w:val="center"/>
                </w:tcPr>
                <w:p w14:paraId="7096FD4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A210F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47726F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79FA874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772536F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091B9F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570F618">
                  <w:pPr>
                    <w:widowControl w:val="0"/>
                    <w:jc w:val="both"/>
                    <w:rPr>
                      <w:rFonts w:ascii="Calibri" w:hAnsi="Calibri"/>
                      <w:kern w:val="2"/>
                      <w:sz w:val="21"/>
                      <w:lang w:val="en-US" w:eastAsia="zh-CN" w:bidi="ar-SA"/>
                    </w:rPr>
                  </w:pPr>
                </w:p>
              </w:tc>
              <w:tc>
                <w:tcPr>
                  <w:tcW w:w="0" w:type="auto"/>
                  <w:noWrap w:val="0"/>
                  <w:vAlign w:val="center"/>
                </w:tcPr>
                <w:p w14:paraId="6EB3FCF8">
                  <w:pPr>
                    <w:widowControl w:val="0"/>
                    <w:jc w:val="both"/>
                    <w:rPr>
                      <w:rFonts w:ascii="Calibri" w:hAnsi="Calibri"/>
                      <w:kern w:val="2"/>
                      <w:sz w:val="21"/>
                      <w:lang w:val="en-US" w:eastAsia="zh-CN" w:bidi="ar-SA"/>
                    </w:rPr>
                  </w:pPr>
                </w:p>
              </w:tc>
              <w:tc>
                <w:tcPr>
                  <w:tcW w:w="0" w:type="auto"/>
                  <w:noWrap w:val="0"/>
                  <w:vAlign w:val="center"/>
                </w:tcPr>
                <w:p w14:paraId="5BCAD5B6">
                  <w:pPr>
                    <w:widowControl w:val="0"/>
                    <w:jc w:val="both"/>
                    <w:rPr>
                      <w:rFonts w:ascii="Calibri" w:hAnsi="Calibri"/>
                      <w:kern w:val="2"/>
                      <w:sz w:val="21"/>
                      <w:lang w:val="en-US" w:eastAsia="zh-CN" w:bidi="ar-SA"/>
                    </w:rPr>
                  </w:pPr>
                </w:p>
              </w:tc>
              <w:tc>
                <w:tcPr>
                  <w:tcW w:w="0" w:type="auto"/>
                  <w:noWrap w:val="0"/>
                  <w:vAlign w:val="center"/>
                </w:tcPr>
                <w:p w14:paraId="5944AFD7">
                  <w:pPr>
                    <w:widowControl w:val="0"/>
                    <w:jc w:val="both"/>
                    <w:rPr>
                      <w:rFonts w:ascii="Calibri" w:hAnsi="Calibri"/>
                      <w:kern w:val="2"/>
                      <w:sz w:val="21"/>
                      <w:lang w:val="en-US" w:eastAsia="zh-CN" w:bidi="ar-SA"/>
                    </w:rPr>
                  </w:pPr>
                </w:p>
              </w:tc>
              <w:tc>
                <w:tcPr>
                  <w:tcW w:w="0" w:type="auto"/>
                  <w:noWrap w:val="0"/>
                  <w:vAlign w:val="center"/>
                </w:tcPr>
                <w:p w14:paraId="2E612C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DFB1D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AE61B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377D4752">
                  <w:pPr>
                    <w:widowControl w:val="0"/>
                    <w:jc w:val="both"/>
                    <w:rPr>
                      <w:rFonts w:ascii="Calibri" w:hAnsi="Calibri"/>
                      <w:kern w:val="2"/>
                      <w:sz w:val="21"/>
                      <w:lang w:val="en-US" w:eastAsia="zh-CN" w:bidi="ar-SA"/>
                    </w:rPr>
                  </w:pPr>
                </w:p>
              </w:tc>
            </w:tr>
            <w:tr w14:paraId="567A585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D01D18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21</w:t>
                  </w:r>
                </w:p>
              </w:tc>
              <w:tc>
                <w:tcPr>
                  <w:tcW w:w="240" w:type="pct"/>
                  <w:noWrap w:val="0"/>
                  <w:vAlign w:val="center"/>
                </w:tcPr>
                <w:p w14:paraId="67EB30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F88D9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6F60A2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771CB5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0B0DB2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5A6E033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1F209F1">
                  <w:pPr>
                    <w:widowControl w:val="0"/>
                    <w:jc w:val="both"/>
                    <w:rPr>
                      <w:rFonts w:ascii="Calibri" w:hAnsi="Calibri"/>
                      <w:kern w:val="2"/>
                      <w:sz w:val="21"/>
                      <w:lang w:val="en-US" w:eastAsia="zh-CN" w:bidi="ar-SA"/>
                    </w:rPr>
                  </w:pPr>
                </w:p>
              </w:tc>
              <w:tc>
                <w:tcPr>
                  <w:tcW w:w="0" w:type="auto"/>
                  <w:noWrap w:val="0"/>
                  <w:vAlign w:val="center"/>
                </w:tcPr>
                <w:p w14:paraId="17CB8602">
                  <w:pPr>
                    <w:widowControl w:val="0"/>
                    <w:jc w:val="both"/>
                    <w:rPr>
                      <w:rFonts w:ascii="Calibri" w:hAnsi="Calibri"/>
                      <w:kern w:val="2"/>
                      <w:sz w:val="21"/>
                      <w:lang w:val="en-US" w:eastAsia="zh-CN" w:bidi="ar-SA"/>
                    </w:rPr>
                  </w:pPr>
                </w:p>
              </w:tc>
              <w:tc>
                <w:tcPr>
                  <w:tcW w:w="0" w:type="auto"/>
                  <w:noWrap w:val="0"/>
                  <w:vAlign w:val="center"/>
                </w:tcPr>
                <w:p w14:paraId="1D5F7A86">
                  <w:pPr>
                    <w:widowControl w:val="0"/>
                    <w:jc w:val="both"/>
                    <w:rPr>
                      <w:rFonts w:ascii="Calibri" w:hAnsi="Calibri"/>
                      <w:kern w:val="2"/>
                      <w:sz w:val="21"/>
                      <w:lang w:val="en-US" w:eastAsia="zh-CN" w:bidi="ar-SA"/>
                    </w:rPr>
                  </w:pPr>
                </w:p>
              </w:tc>
              <w:tc>
                <w:tcPr>
                  <w:tcW w:w="0" w:type="auto"/>
                  <w:noWrap w:val="0"/>
                  <w:vAlign w:val="center"/>
                </w:tcPr>
                <w:p w14:paraId="3DE0ADD5">
                  <w:pPr>
                    <w:widowControl w:val="0"/>
                    <w:jc w:val="both"/>
                    <w:rPr>
                      <w:rFonts w:ascii="Calibri" w:hAnsi="Calibri"/>
                      <w:kern w:val="2"/>
                      <w:sz w:val="21"/>
                      <w:lang w:val="en-US" w:eastAsia="zh-CN" w:bidi="ar-SA"/>
                    </w:rPr>
                  </w:pPr>
                </w:p>
              </w:tc>
              <w:tc>
                <w:tcPr>
                  <w:tcW w:w="0" w:type="auto"/>
                  <w:noWrap w:val="0"/>
                  <w:vAlign w:val="center"/>
                </w:tcPr>
                <w:p w14:paraId="2A0899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DC0308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A61B55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4F608CB2">
                  <w:pPr>
                    <w:widowControl w:val="0"/>
                    <w:jc w:val="both"/>
                    <w:rPr>
                      <w:rFonts w:ascii="Calibri" w:hAnsi="Calibri"/>
                      <w:kern w:val="2"/>
                      <w:sz w:val="21"/>
                      <w:lang w:val="en-US" w:eastAsia="zh-CN" w:bidi="ar-SA"/>
                    </w:rPr>
                  </w:pPr>
                </w:p>
              </w:tc>
            </w:tr>
            <w:tr w14:paraId="75CCDF43">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1419C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22</w:t>
                  </w:r>
                </w:p>
              </w:tc>
              <w:tc>
                <w:tcPr>
                  <w:tcW w:w="240" w:type="pct"/>
                  <w:noWrap w:val="0"/>
                  <w:vAlign w:val="center"/>
                </w:tcPr>
                <w:p w14:paraId="355499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D3B354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5BA34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445544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0F0B0E6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7DDEB0A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1E6AD7B">
                  <w:pPr>
                    <w:widowControl w:val="0"/>
                    <w:jc w:val="both"/>
                    <w:rPr>
                      <w:rFonts w:ascii="Calibri" w:hAnsi="Calibri"/>
                      <w:kern w:val="2"/>
                      <w:sz w:val="21"/>
                      <w:lang w:val="en-US" w:eastAsia="zh-CN" w:bidi="ar-SA"/>
                    </w:rPr>
                  </w:pPr>
                </w:p>
              </w:tc>
              <w:tc>
                <w:tcPr>
                  <w:tcW w:w="0" w:type="auto"/>
                  <w:noWrap w:val="0"/>
                  <w:vAlign w:val="center"/>
                </w:tcPr>
                <w:p w14:paraId="2B934D02">
                  <w:pPr>
                    <w:widowControl w:val="0"/>
                    <w:jc w:val="both"/>
                    <w:rPr>
                      <w:rFonts w:ascii="Calibri" w:hAnsi="Calibri"/>
                      <w:kern w:val="2"/>
                      <w:sz w:val="21"/>
                      <w:lang w:val="en-US" w:eastAsia="zh-CN" w:bidi="ar-SA"/>
                    </w:rPr>
                  </w:pPr>
                </w:p>
              </w:tc>
              <w:tc>
                <w:tcPr>
                  <w:tcW w:w="0" w:type="auto"/>
                  <w:noWrap w:val="0"/>
                  <w:vAlign w:val="center"/>
                </w:tcPr>
                <w:p w14:paraId="3B3D4529">
                  <w:pPr>
                    <w:widowControl w:val="0"/>
                    <w:jc w:val="both"/>
                    <w:rPr>
                      <w:rFonts w:ascii="Calibri" w:hAnsi="Calibri"/>
                      <w:kern w:val="2"/>
                      <w:sz w:val="21"/>
                      <w:lang w:val="en-US" w:eastAsia="zh-CN" w:bidi="ar-SA"/>
                    </w:rPr>
                  </w:pPr>
                </w:p>
              </w:tc>
              <w:tc>
                <w:tcPr>
                  <w:tcW w:w="0" w:type="auto"/>
                  <w:noWrap w:val="0"/>
                  <w:vAlign w:val="center"/>
                </w:tcPr>
                <w:p w14:paraId="3E5062DD">
                  <w:pPr>
                    <w:widowControl w:val="0"/>
                    <w:jc w:val="both"/>
                    <w:rPr>
                      <w:rFonts w:ascii="Calibri" w:hAnsi="Calibri"/>
                      <w:kern w:val="2"/>
                      <w:sz w:val="21"/>
                      <w:lang w:val="en-US" w:eastAsia="zh-CN" w:bidi="ar-SA"/>
                    </w:rPr>
                  </w:pPr>
                </w:p>
              </w:tc>
              <w:tc>
                <w:tcPr>
                  <w:tcW w:w="0" w:type="auto"/>
                  <w:noWrap w:val="0"/>
                  <w:vAlign w:val="center"/>
                </w:tcPr>
                <w:p w14:paraId="17167D9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5C4BE4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AD745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0480068A">
                  <w:pPr>
                    <w:widowControl w:val="0"/>
                    <w:jc w:val="both"/>
                    <w:rPr>
                      <w:rFonts w:ascii="Calibri" w:hAnsi="Calibri"/>
                      <w:kern w:val="2"/>
                      <w:sz w:val="21"/>
                      <w:lang w:val="en-US" w:eastAsia="zh-CN" w:bidi="ar-SA"/>
                    </w:rPr>
                  </w:pPr>
                </w:p>
              </w:tc>
            </w:tr>
            <w:tr w14:paraId="4F11AE6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A299DC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23</w:t>
                  </w:r>
                </w:p>
              </w:tc>
              <w:tc>
                <w:tcPr>
                  <w:tcW w:w="240" w:type="pct"/>
                  <w:noWrap w:val="0"/>
                  <w:vAlign w:val="center"/>
                </w:tcPr>
                <w:p w14:paraId="1BF9C1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A0418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5583B9D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6734895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464EB0D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43C88A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F3A07BC">
                  <w:pPr>
                    <w:widowControl w:val="0"/>
                    <w:jc w:val="both"/>
                    <w:rPr>
                      <w:rFonts w:ascii="Calibri" w:hAnsi="Calibri"/>
                      <w:kern w:val="2"/>
                      <w:sz w:val="21"/>
                      <w:lang w:val="en-US" w:eastAsia="zh-CN" w:bidi="ar-SA"/>
                    </w:rPr>
                  </w:pPr>
                </w:p>
              </w:tc>
              <w:tc>
                <w:tcPr>
                  <w:tcW w:w="0" w:type="auto"/>
                  <w:noWrap w:val="0"/>
                  <w:vAlign w:val="center"/>
                </w:tcPr>
                <w:p w14:paraId="4EBFB458">
                  <w:pPr>
                    <w:widowControl w:val="0"/>
                    <w:jc w:val="both"/>
                    <w:rPr>
                      <w:rFonts w:ascii="Calibri" w:hAnsi="Calibri"/>
                      <w:kern w:val="2"/>
                      <w:sz w:val="21"/>
                      <w:lang w:val="en-US" w:eastAsia="zh-CN" w:bidi="ar-SA"/>
                    </w:rPr>
                  </w:pPr>
                </w:p>
              </w:tc>
              <w:tc>
                <w:tcPr>
                  <w:tcW w:w="0" w:type="auto"/>
                  <w:noWrap w:val="0"/>
                  <w:vAlign w:val="center"/>
                </w:tcPr>
                <w:p w14:paraId="6F86302D">
                  <w:pPr>
                    <w:widowControl w:val="0"/>
                    <w:jc w:val="both"/>
                    <w:rPr>
                      <w:rFonts w:ascii="Calibri" w:hAnsi="Calibri"/>
                      <w:kern w:val="2"/>
                      <w:sz w:val="21"/>
                      <w:lang w:val="en-US" w:eastAsia="zh-CN" w:bidi="ar-SA"/>
                    </w:rPr>
                  </w:pPr>
                </w:p>
              </w:tc>
              <w:tc>
                <w:tcPr>
                  <w:tcW w:w="0" w:type="auto"/>
                  <w:noWrap w:val="0"/>
                  <w:vAlign w:val="center"/>
                </w:tcPr>
                <w:p w14:paraId="57113B32">
                  <w:pPr>
                    <w:widowControl w:val="0"/>
                    <w:jc w:val="both"/>
                    <w:rPr>
                      <w:rFonts w:ascii="Calibri" w:hAnsi="Calibri"/>
                      <w:kern w:val="2"/>
                      <w:sz w:val="21"/>
                      <w:lang w:val="en-US" w:eastAsia="zh-CN" w:bidi="ar-SA"/>
                    </w:rPr>
                  </w:pPr>
                </w:p>
              </w:tc>
              <w:tc>
                <w:tcPr>
                  <w:tcW w:w="0" w:type="auto"/>
                  <w:noWrap w:val="0"/>
                  <w:vAlign w:val="center"/>
                </w:tcPr>
                <w:p w14:paraId="2BF2322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2508C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1D7702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《土壤质量铅、镉的测定 石墨炉原子吸收分光光度 法》（GB/T 17141-1997）</w:t>
                  </w:r>
                </w:p>
              </w:tc>
              <w:tc>
                <w:tcPr>
                  <w:tcW w:w="83" w:type="pct"/>
                  <w:noWrap w:val="0"/>
                  <w:vAlign w:val="center"/>
                </w:tcPr>
                <w:p w14:paraId="73E3A89B">
                  <w:pPr>
                    <w:widowControl w:val="0"/>
                    <w:jc w:val="both"/>
                    <w:rPr>
                      <w:rFonts w:ascii="Calibri" w:hAnsi="Calibri"/>
                      <w:kern w:val="2"/>
                      <w:sz w:val="21"/>
                      <w:lang w:val="en-US" w:eastAsia="zh-CN" w:bidi="ar-SA"/>
                    </w:rPr>
                  </w:pPr>
                </w:p>
              </w:tc>
            </w:tr>
            <w:tr w14:paraId="01A0110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85BF12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24</w:t>
                  </w:r>
                </w:p>
              </w:tc>
              <w:tc>
                <w:tcPr>
                  <w:tcW w:w="240" w:type="pct"/>
                  <w:noWrap w:val="0"/>
                  <w:vAlign w:val="center"/>
                </w:tcPr>
                <w:p w14:paraId="1808EC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A6785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E82C4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1AA85F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08E68BD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2F401ED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E779C6A">
                  <w:pPr>
                    <w:widowControl w:val="0"/>
                    <w:jc w:val="both"/>
                    <w:rPr>
                      <w:rFonts w:ascii="Calibri" w:hAnsi="Calibri"/>
                      <w:kern w:val="2"/>
                      <w:sz w:val="21"/>
                      <w:lang w:val="en-US" w:eastAsia="zh-CN" w:bidi="ar-SA"/>
                    </w:rPr>
                  </w:pPr>
                </w:p>
              </w:tc>
              <w:tc>
                <w:tcPr>
                  <w:tcW w:w="0" w:type="auto"/>
                  <w:noWrap w:val="0"/>
                  <w:vAlign w:val="center"/>
                </w:tcPr>
                <w:p w14:paraId="088AA466">
                  <w:pPr>
                    <w:widowControl w:val="0"/>
                    <w:jc w:val="both"/>
                    <w:rPr>
                      <w:rFonts w:ascii="Calibri" w:hAnsi="Calibri"/>
                      <w:kern w:val="2"/>
                      <w:sz w:val="21"/>
                      <w:lang w:val="en-US" w:eastAsia="zh-CN" w:bidi="ar-SA"/>
                    </w:rPr>
                  </w:pPr>
                </w:p>
              </w:tc>
              <w:tc>
                <w:tcPr>
                  <w:tcW w:w="0" w:type="auto"/>
                  <w:noWrap w:val="0"/>
                  <w:vAlign w:val="center"/>
                </w:tcPr>
                <w:p w14:paraId="57F3DCD5">
                  <w:pPr>
                    <w:widowControl w:val="0"/>
                    <w:jc w:val="both"/>
                    <w:rPr>
                      <w:rFonts w:ascii="Calibri" w:hAnsi="Calibri"/>
                      <w:kern w:val="2"/>
                      <w:sz w:val="21"/>
                      <w:lang w:val="en-US" w:eastAsia="zh-CN" w:bidi="ar-SA"/>
                    </w:rPr>
                  </w:pPr>
                </w:p>
              </w:tc>
              <w:tc>
                <w:tcPr>
                  <w:tcW w:w="0" w:type="auto"/>
                  <w:noWrap w:val="0"/>
                  <w:vAlign w:val="center"/>
                </w:tcPr>
                <w:p w14:paraId="64C0B083">
                  <w:pPr>
                    <w:widowControl w:val="0"/>
                    <w:jc w:val="both"/>
                    <w:rPr>
                      <w:rFonts w:ascii="Calibri" w:hAnsi="Calibri"/>
                      <w:kern w:val="2"/>
                      <w:sz w:val="21"/>
                      <w:lang w:val="en-US" w:eastAsia="zh-CN" w:bidi="ar-SA"/>
                    </w:rPr>
                  </w:pPr>
                </w:p>
              </w:tc>
              <w:tc>
                <w:tcPr>
                  <w:tcW w:w="0" w:type="auto"/>
                  <w:noWrap w:val="0"/>
                  <w:vAlign w:val="center"/>
                </w:tcPr>
                <w:p w14:paraId="4979F9F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03634E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DFE15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《土壤质量铅、镉的测定 石墨炉原子吸收分光光度 法》（GB/T 17141-1997）</w:t>
                  </w:r>
                </w:p>
              </w:tc>
              <w:tc>
                <w:tcPr>
                  <w:tcW w:w="83" w:type="pct"/>
                  <w:noWrap w:val="0"/>
                  <w:vAlign w:val="center"/>
                </w:tcPr>
                <w:p w14:paraId="0EDE92C0">
                  <w:pPr>
                    <w:widowControl w:val="0"/>
                    <w:jc w:val="both"/>
                    <w:rPr>
                      <w:rFonts w:ascii="Calibri" w:hAnsi="Calibri"/>
                      <w:kern w:val="2"/>
                      <w:sz w:val="21"/>
                      <w:lang w:val="en-US" w:eastAsia="zh-CN" w:bidi="ar-SA"/>
                    </w:rPr>
                  </w:pPr>
                </w:p>
              </w:tc>
            </w:tr>
            <w:tr w14:paraId="09A3A73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E68974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25</w:t>
                  </w:r>
                </w:p>
              </w:tc>
              <w:tc>
                <w:tcPr>
                  <w:tcW w:w="240" w:type="pct"/>
                  <w:noWrap w:val="0"/>
                  <w:vAlign w:val="center"/>
                </w:tcPr>
                <w:p w14:paraId="787C3D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0BFE64C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7A5D01F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1EFA405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94E0B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114FCE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1B1A15E">
                  <w:pPr>
                    <w:widowControl w:val="0"/>
                    <w:jc w:val="both"/>
                    <w:rPr>
                      <w:rFonts w:ascii="Calibri" w:hAnsi="Calibri"/>
                      <w:kern w:val="2"/>
                      <w:sz w:val="21"/>
                      <w:lang w:val="en-US" w:eastAsia="zh-CN" w:bidi="ar-SA"/>
                    </w:rPr>
                  </w:pPr>
                </w:p>
              </w:tc>
              <w:tc>
                <w:tcPr>
                  <w:tcW w:w="0" w:type="auto"/>
                  <w:noWrap w:val="0"/>
                  <w:vAlign w:val="center"/>
                </w:tcPr>
                <w:p w14:paraId="5F0D6E0E">
                  <w:pPr>
                    <w:widowControl w:val="0"/>
                    <w:jc w:val="both"/>
                    <w:rPr>
                      <w:rFonts w:ascii="Calibri" w:hAnsi="Calibri"/>
                      <w:kern w:val="2"/>
                      <w:sz w:val="21"/>
                      <w:lang w:val="en-US" w:eastAsia="zh-CN" w:bidi="ar-SA"/>
                    </w:rPr>
                  </w:pPr>
                </w:p>
              </w:tc>
              <w:tc>
                <w:tcPr>
                  <w:tcW w:w="0" w:type="auto"/>
                  <w:noWrap w:val="0"/>
                  <w:vAlign w:val="center"/>
                </w:tcPr>
                <w:p w14:paraId="08D6DD5C">
                  <w:pPr>
                    <w:widowControl w:val="0"/>
                    <w:jc w:val="both"/>
                    <w:rPr>
                      <w:rFonts w:ascii="Calibri" w:hAnsi="Calibri"/>
                      <w:kern w:val="2"/>
                      <w:sz w:val="21"/>
                      <w:lang w:val="en-US" w:eastAsia="zh-CN" w:bidi="ar-SA"/>
                    </w:rPr>
                  </w:pPr>
                </w:p>
              </w:tc>
              <w:tc>
                <w:tcPr>
                  <w:tcW w:w="0" w:type="auto"/>
                  <w:noWrap w:val="0"/>
                  <w:vAlign w:val="center"/>
                </w:tcPr>
                <w:p w14:paraId="202C1C77">
                  <w:pPr>
                    <w:widowControl w:val="0"/>
                    <w:jc w:val="both"/>
                    <w:rPr>
                      <w:rFonts w:ascii="Calibri" w:hAnsi="Calibri"/>
                      <w:kern w:val="2"/>
                      <w:sz w:val="21"/>
                      <w:lang w:val="en-US" w:eastAsia="zh-CN" w:bidi="ar-SA"/>
                    </w:rPr>
                  </w:pPr>
                </w:p>
              </w:tc>
              <w:tc>
                <w:tcPr>
                  <w:tcW w:w="0" w:type="auto"/>
                  <w:noWrap w:val="0"/>
                  <w:vAlign w:val="center"/>
                </w:tcPr>
                <w:p w14:paraId="46FADD9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FC506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0F33B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《土壤质量铅、镉的测定 石墨炉原子吸收分光光度 法》（GB/T 17141-1997）</w:t>
                  </w:r>
                </w:p>
              </w:tc>
              <w:tc>
                <w:tcPr>
                  <w:tcW w:w="83" w:type="pct"/>
                  <w:noWrap w:val="0"/>
                  <w:vAlign w:val="center"/>
                </w:tcPr>
                <w:p w14:paraId="52D3C0C5">
                  <w:pPr>
                    <w:widowControl w:val="0"/>
                    <w:jc w:val="both"/>
                    <w:rPr>
                      <w:rFonts w:ascii="Calibri" w:hAnsi="Calibri"/>
                      <w:kern w:val="2"/>
                      <w:sz w:val="21"/>
                      <w:lang w:val="en-US" w:eastAsia="zh-CN" w:bidi="ar-SA"/>
                    </w:rPr>
                  </w:pPr>
                </w:p>
              </w:tc>
            </w:tr>
            <w:tr w14:paraId="56C2278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BF5E7E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26</w:t>
                  </w:r>
                </w:p>
              </w:tc>
              <w:tc>
                <w:tcPr>
                  <w:tcW w:w="240" w:type="pct"/>
                  <w:noWrap w:val="0"/>
                  <w:vAlign w:val="center"/>
                </w:tcPr>
                <w:p w14:paraId="59C493F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E0E8E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2473D5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1D230FF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42EE6F6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351485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D78C699">
                  <w:pPr>
                    <w:widowControl w:val="0"/>
                    <w:jc w:val="both"/>
                    <w:rPr>
                      <w:rFonts w:ascii="Calibri" w:hAnsi="Calibri"/>
                      <w:kern w:val="2"/>
                      <w:sz w:val="21"/>
                      <w:lang w:val="en-US" w:eastAsia="zh-CN" w:bidi="ar-SA"/>
                    </w:rPr>
                  </w:pPr>
                </w:p>
              </w:tc>
              <w:tc>
                <w:tcPr>
                  <w:tcW w:w="0" w:type="auto"/>
                  <w:noWrap w:val="0"/>
                  <w:vAlign w:val="center"/>
                </w:tcPr>
                <w:p w14:paraId="74040F89">
                  <w:pPr>
                    <w:widowControl w:val="0"/>
                    <w:jc w:val="both"/>
                    <w:rPr>
                      <w:rFonts w:ascii="Calibri" w:hAnsi="Calibri"/>
                      <w:kern w:val="2"/>
                      <w:sz w:val="21"/>
                      <w:lang w:val="en-US" w:eastAsia="zh-CN" w:bidi="ar-SA"/>
                    </w:rPr>
                  </w:pPr>
                </w:p>
              </w:tc>
              <w:tc>
                <w:tcPr>
                  <w:tcW w:w="0" w:type="auto"/>
                  <w:noWrap w:val="0"/>
                  <w:vAlign w:val="center"/>
                </w:tcPr>
                <w:p w14:paraId="76F6ACA3">
                  <w:pPr>
                    <w:widowControl w:val="0"/>
                    <w:jc w:val="both"/>
                    <w:rPr>
                      <w:rFonts w:ascii="Calibri" w:hAnsi="Calibri"/>
                      <w:kern w:val="2"/>
                      <w:sz w:val="21"/>
                      <w:lang w:val="en-US" w:eastAsia="zh-CN" w:bidi="ar-SA"/>
                    </w:rPr>
                  </w:pPr>
                </w:p>
              </w:tc>
              <w:tc>
                <w:tcPr>
                  <w:tcW w:w="0" w:type="auto"/>
                  <w:noWrap w:val="0"/>
                  <w:vAlign w:val="center"/>
                </w:tcPr>
                <w:p w14:paraId="6F828D6A">
                  <w:pPr>
                    <w:widowControl w:val="0"/>
                    <w:jc w:val="both"/>
                    <w:rPr>
                      <w:rFonts w:ascii="Calibri" w:hAnsi="Calibri"/>
                      <w:kern w:val="2"/>
                      <w:sz w:val="21"/>
                      <w:lang w:val="en-US" w:eastAsia="zh-CN" w:bidi="ar-SA"/>
                    </w:rPr>
                  </w:pPr>
                </w:p>
              </w:tc>
              <w:tc>
                <w:tcPr>
                  <w:tcW w:w="0" w:type="auto"/>
                  <w:noWrap w:val="0"/>
                  <w:vAlign w:val="center"/>
                </w:tcPr>
                <w:p w14:paraId="447F58A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B42AC2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24DC1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《土壤质量铅、镉的测定 石墨炉原子吸收分光光度 法》（GB/T 17141-1997）</w:t>
                  </w:r>
                </w:p>
              </w:tc>
              <w:tc>
                <w:tcPr>
                  <w:tcW w:w="83" w:type="pct"/>
                  <w:noWrap w:val="0"/>
                  <w:vAlign w:val="center"/>
                </w:tcPr>
                <w:p w14:paraId="0A9FB2B4">
                  <w:pPr>
                    <w:widowControl w:val="0"/>
                    <w:jc w:val="both"/>
                    <w:rPr>
                      <w:rFonts w:ascii="Calibri" w:hAnsi="Calibri"/>
                      <w:kern w:val="2"/>
                      <w:sz w:val="21"/>
                      <w:lang w:val="en-US" w:eastAsia="zh-CN" w:bidi="ar-SA"/>
                    </w:rPr>
                  </w:pPr>
                </w:p>
              </w:tc>
            </w:tr>
            <w:tr w14:paraId="12B9CF7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A6DDB6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27</w:t>
                  </w:r>
                </w:p>
              </w:tc>
              <w:tc>
                <w:tcPr>
                  <w:tcW w:w="240" w:type="pct"/>
                  <w:noWrap w:val="0"/>
                  <w:vAlign w:val="center"/>
                </w:tcPr>
                <w:p w14:paraId="42BD658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3E8AB4F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3AEC279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5EC65AB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086584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7C11D4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649427C">
                  <w:pPr>
                    <w:widowControl w:val="0"/>
                    <w:jc w:val="both"/>
                    <w:rPr>
                      <w:rFonts w:ascii="Calibri" w:hAnsi="Calibri"/>
                      <w:kern w:val="2"/>
                      <w:sz w:val="21"/>
                      <w:lang w:val="en-US" w:eastAsia="zh-CN" w:bidi="ar-SA"/>
                    </w:rPr>
                  </w:pPr>
                </w:p>
              </w:tc>
              <w:tc>
                <w:tcPr>
                  <w:tcW w:w="0" w:type="auto"/>
                  <w:noWrap w:val="0"/>
                  <w:vAlign w:val="center"/>
                </w:tcPr>
                <w:p w14:paraId="3237DD9B">
                  <w:pPr>
                    <w:widowControl w:val="0"/>
                    <w:jc w:val="both"/>
                    <w:rPr>
                      <w:rFonts w:ascii="Calibri" w:hAnsi="Calibri"/>
                      <w:kern w:val="2"/>
                      <w:sz w:val="21"/>
                      <w:lang w:val="en-US" w:eastAsia="zh-CN" w:bidi="ar-SA"/>
                    </w:rPr>
                  </w:pPr>
                </w:p>
              </w:tc>
              <w:tc>
                <w:tcPr>
                  <w:tcW w:w="0" w:type="auto"/>
                  <w:noWrap w:val="0"/>
                  <w:vAlign w:val="center"/>
                </w:tcPr>
                <w:p w14:paraId="588BAEFE">
                  <w:pPr>
                    <w:widowControl w:val="0"/>
                    <w:jc w:val="both"/>
                    <w:rPr>
                      <w:rFonts w:ascii="Calibri" w:hAnsi="Calibri"/>
                      <w:kern w:val="2"/>
                      <w:sz w:val="21"/>
                      <w:lang w:val="en-US" w:eastAsia="zh-CN" w:bidi="ar-SA"/>
                    </w:rPr>
                  </w:pPr>
                </w:p>
              </w:tc>
              <w:tc>
                <w:tcPr>
                  <w:tcW w:w="0" w:type="auto"/>
                  <w:noWrap w:val="0"/>
                  <w:vAlign w:val="center"/>
                </w:tcPr>
                <w:p w14:paraId="4584EF11">
                  <w:pPr>
                    <w:widowControl w:val="0"/>
                    <w:jc w:val="both"/>
                    <w:rPr>
                      <w:rFonts w:ascii="Calibri" w:hAnsi="Calibri"/>
                      <w:kern w:val="2"/>
                      <w:sz w:val="21"/>
                      <w:lang w:val="en-US" w:eastAsia="zh-CN" w:bidi="ar-SA"/>
                    </w:rPr>
                  </w:pPr>
                </w:p>
              </w:tc>
              <w:tc>
                <w:tcPr>
                  <w:tcW w:w="0" w:type="auto"/>
                  <w:noWrap w:val="0"/>
                  <w:vAlign w:val="center"/>
                </w:tcPr>
                <w:p w14:paraId="044A2F4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770D74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176C17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《土壤质量铅、镉的测定 石墨炉原子吸收分光光度 法》（GB/T 17141-1997）</w:t>
                  </w:r>
                </w:p>
              </w:tc>
              <w:tc>
                <w:tcPr>
                  <w:tcW w:w="83" w:type="pct"/>
                  <w:noWrap w:val="0"/>
                  <w:vAlign w:val="center"/>
                </w:tcPr>
                <w:p w14:paraId="5DC71315">
                  <w:pPr>
                    <w:widowControl w:val="0"/>
                    <w:jc w:val="both"/>
                    <w:rPr>
                      <w:rFonts w:ascii="Calibri" w:hAnsi="Calibri"/>
                      <w:kern w:val="2"/>
                      <w:sz w:val="21"/>
                      <w:lang w:val="en-US" w:eastAsia="zh-CN" w:bidi="ar-SA"/>
                    </w:rPr>
                  </w:pPr>
                </w:p>
              </w:tc>
            </w:tr>
            <w:tr w14:paraId="4D0981C3">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6B1FBE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28</w:t>
                  </w:r>
                </w:p>
              </w:tc>
              <w:tc>
                <w:tcPr>
                  <w:tcW w:w="240" w:type="pct"/>
                  <w:noWrap w:val="0"/>
                  <w:vAlign w:val="center"/>
                </w:tcPr>
                <w:p w14:paraId="4E4669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ED287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3673DA3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6AC482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5F50C17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014607A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5F08313">
                  <w:pPr>
                    <w:widowControl w:val="0"/>
                    <w:jc w:val="both"/>
                    <w:rPr>
                      <w:rFonts w:ascii="Calibri" w:hAnsi="Calibri"/>
                      <w:kern w:val="2"/>
                      <w:sz w:val="21"/>
                      <w:lang w:val="en-US" w:eastAsia="zh-CN" w:bidi="ar-SA"/>
                    </w:rPr>
                  </w:pPr>
                </w:p>
              </w:tc>
              <w:tc>
                <w:tcPr>
                  <w:tcW w:w="0" w:type="auto"/>
                  <w:noWrap w:val="0"/>
                  <w:vAlign w:val="center"/>
                </w:tcPr>
                <w:p w14:paraId="1C14EAE1">
                  <w:pPr>
                    <w:widowControl w:val="0"/>
                    <w:jc w:val="both"/>
                    <w:rPr>
                      <w:rFonts w:ascii="Calibri" w:hAnsi="Calibri"/>
                      <w:kern w:val="2"/>
                      <w:sz w:val="21"/>
                      <w:lang w:val="en-US" w:eastAsia="zh-CN" w:bidi="ar-SA"/>
                    </w:rPr>
                  </w:pPr>
                </w:p>
              </w:tc>
              <w:tc>
                <w:tcPr>
                  <w:tcW w:w="0" w:type="auto"/>
                  <w:noWrap w:val="0"/>
                  <w:vAlign w:val="center"/>
                </w:tcPr>
                <w:p w14:paraId="499147AB">
                  <w:pPr>
                    <w:widowControl w:val="0"/>
                    <w:jc w:val="both"/>
                    <w:rPr>
                      <w:rFonts w:ascii="Calibri" w:hAnsi="Calibri"/>
                      <w:kern w:val="2"/>
                      <w:sz w:val="21"/>
                      <w:lang w:val="en-US" w:eastAsia="zh-CN" w:bidi="ar-SA"/>
                    </w:rPr>
                  </w:pPr>
                </w:p>
              </w:tc>
              <w:tc>
                <w:tcPr>
                  <w:tcW w:w="0" w:type="auto"/>
                  <w:noWrap w:val="0"/>
                  <w:vAlign w:val="center"/>
                </w:tcPr>
                <w:p w14:paraId="07453D05">
                  <w:pPr>
                    <w:widowControl w:val="0"/>
                    <w:jc w:val="both"/>
                    <w:rPr>
                      <w:rFonts w:ascii="Calibri" w:hAnsi="Calibri"/>
                      <w:kern w:val="2"/>
                      <w:sz w:val="21"/>
                      <w:lang w:val="en-US" w:eastAsia="zh-CN" w:bidi="ar-SA"/>
                    </w:rPr>
                  </w:pPr>
                </w:p>
              </w:tc>
              <w:tc>
                <w:tcPr>
                  <w:tcW w:w="0" w:type="auto"/>
                  <w:noWrap w:val="0"/>
                  <w:vAlign w:val="center"/>
                </w:tcPr>
                <w:p w14:paraId="56156CB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4F3B9B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6BAF7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《土壤质量铅、镉的测定 石墨炉原子吸收分光光度 法》（GB/T 17141-1997）</w:t>
                  </w:r>
                </w:p>
              </w:tc>
              <w:tc>
                <w:tcPr>
                  <w:tcW w:w="83" w:type="pct"/>
                  <w:noWrap w:val="0"/>
                  <w:vAlign w:val="center"/>
                </w:tcPr>
                <w:p w14:paraId="01A695A3">
                  <w:pPr>
                    <w:widowControl w:val="0"/>
                    <w:jc w:val="both"/>
                    <w:rPr>
                      <w:rFonts w:ascii="Calibri" w:hAnsi="Calibri"/>
                      <w:kern w:val="2"/>
                      <w:sz w:val="21"/>
                      <w:lang w:val="en-US" w:eastAsia="zh-CN" w:bidi="ar-SA"/>
                    </w:rPr>
                  </w:pPr>
                </w:p>
              </w:tc>
            </w:tr>
            <w:tr w14:paraId="4AA4948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2C6578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29</w:t>
                  </w:r>
                </w:p>
              </w:tc>
              <w:tc>
                <w:tcPr>
                  <w:tcW w:w="240" w:type="pct"/>
                  <w:noWrap w:val="0"/>
                  <w:vAlign w:val="center"/>
                </w:tcPr>
                <w:p w14:paraId="0111F9F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1F5BB3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2E18E7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2F09B93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71079E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总铬</w:t>
                  </w:r>
                </w:p>
              </w:tc>
              <w:tc>
                <w:tcPr>
                  <w:tcW w:w="153" w:type="pct"/>
                  <w:noWrap w:val="0"/>
                  <w:vAlign w:val="center"/>
                </w:tcPr>
                <w:p w14:paraId="339529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64996A6">
                  <w:pPr>
                    <w:widowControl w:val="0"/>
                    <w:jc w:val="both"/>
                    <w:rPr>
                      <w:rFonts w:ascii="Calibri" w:hAnsi="Calibri"/>
                      <w:kern w:val="2"/>
                      <w:sz w:val="21"/>
                      <w:lang w:val="en-US" w:eastAsia="zh-CN" w:bidi="ar-SA"/>
                    </w:rPr>
                  </w:pPr>
                </w:p>
              </w:tc>
              <w:tc>
                <w:tcPr>
                  <w:tcW w:w="0" w:type="auto"/>
                  <w:noWrap w:val="0"/>
                  <w:vAlign w:val="center"/>
                </w:tcPr>
                <w:p w14:paraId="5796501C">
                  <w:pPr>
                    <w:widowControl w:val="0"/>
                    <w:jc w:val="both"/>
                    <w:rPr>
                      <w:rFonts w:ascii="Calibri" w:hAnsi="Calibri"/>
                      <w:kern w:val="2"/>
                      <w:sz w:val="21"/>
                      <w:lang w:val="en-US" w:eastAsia="zh-CN" w:bidi="ar-SA"/>
                    </w:rPr>
                  </w:pPr>
                </w:p>
              </w:tc>
              <w:tc>
                <w:tcPr>
                  <w:tcW w:w="0" w:type="auto"/>
                  <w:noWrap w:val="0"/>
                  <w:vAlign w:val="center"/>
                </w:tcPr>
                <w:p w14:paraId="05FD5C22">
                  <w:pPr>
                    <w:widowControl w:val="0"/>
                    <w:jc w:val="both"/>
                    <w:rPr>
                      <w:rFonts w:ascii="Calibri" w:hAnsi="Calibri"/>
                      <w:kern w:val="2"/>
                      <w:sz w:val="21"/>
                      <w:lang w:val="en-US" w:eastAsia="zh-CN" w:bidi="ar-SA"/>
                    </w:rPr>
                  </w:pPr>
                </w:p>
              </w:tc>
              <w:tc>
                <w:tcPr>
                  <w:tcW w:w="0" w:type="auto"/>
                  <w:noWrap w:val="0"/>
                  <w:vAlign w:val="center"/>
                </w:tcPr>
                <w:p w14:paraId="38BB5048">
                  <w:pPr>
                    <w:widowControl w:val="0"/>
                    <w:jc w:val="both"/>
                    <w:rPr>
                      <w:rFonts w:ascii="Calibri" w:hAnsi="Calibri"/>
                      <w:kern w:val="2"/>
                      <w:sz w:val="21"/>
                      <w:lang w:val="en-US" w:eastAsia="zh-CN" w:bidi="ar-SA"/>
                    </w:rPr>
                  </w:pPr>
                </w:p>
              </w:tc>
              <w:tc>
                <w:tcPr>
                  <w:tcW w:w="0" w:type="auto"/>
                  <w:noWrap w:val="0"/>
                  <w:vAlign w:val="center"/>
                </w:tcPr>
                <w:p w14:paraId="7B62C2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4BD9C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207B6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6CAE2541">
                  <w:pPr>
                    <w:widowControl w:val="0"/>
                    <w:jc w:val="both"/>
                    <w:rPr>
                      <w:rFonts w:ascii="Calibri" w:hAnsi="Calibri"/>
                      <w:kern w:val="2"/>
                      <w:sz w:val="21"/>
                      <w:lang w:val="en-US" w:eastAsia="zh-CN" w:bidi="ar-SA"/>
                    </w:rPr>
                  </w:pPr>
                </w:p>
              </w:tc>
            </w:tr>
            <w:tr w14:paraId="09F6FA4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76186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30</w:t>
                  </w:r>
                </w:p>
              </w:tc>
              <w:tc>
                <w:tcPr>
                  <w:tcW w:w="240" w:type="pct"/>
                  <w:noWrap w:val="0"/>
                  <w:vAlign w:val="center"/>
                </w:tcPr>
                <w:p w14:paraId="4A2F2F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0425D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9C87E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3911B0C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546B28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总铬</w:t>
                  </w:r>
                </w:p>
              </w:tc>
              <w:tc>
                <w:tcPr>
                  <w:tcW w:w="153" w:type="pct"/>
                  <w:noWrap w:val="0"/>
                  <w:vAlign w:val="center"/>
                </w:tcPr>
                <w:p w14:paraId="118BC5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C2ABD95">
                  <w:pPr>
                    <w:widowControl w:val="0"/>
                    <w:jc w:val="both"/>
                    <w:rPr>
                      <w:rFonts w:ascii="Calibri" w:hAnsi="Calibri"/>
                      <w:kern w:val="2"/>
                      <w:sz w:val="21"/>
                      <w:lang w:val="en-US" w:eastAsia="zh-CN" w:bidi="ar-SA"/>
                    </w:rPr>
                  </w:pPr>
                </w:p>
              </w:tc>
              <w:tc>
                <w:tcPr>
                  <w:tcW w:w="0" w:type="auto"/>
                  <w:noWrap w:val="0"/>
                  <w:vAlign w:val="center"/>
                </w:tcPr>
                <w:p w14:paraId="405D115B">
                  <w:pPr>
                    <w:widowControl w:val="0"/>
                    <w:jc w:val="both"/>
                    <w:rPr>
                      <w:rFonts w:ascii="Calibri" w:hAnsi="Calibri"/>
                      <w:kern w:val="2"/>
                      <w:sz w:val="21"/>
                      <w:lang w:val="en-US" w:eastAsia="zh-CN" w:bidi="ar-SA"/>
                    </w:rPr>
                  </w:pPr>
                </w:p>
              </w:tc>
              <w:tc>
                <w:tcPr>
                  <w:tcW w:w="0" w:type="auto"/>
                  <w:noWrap w:val="0"/>
                  <w:vAlign w:val="center"/>
                </w:tcPr>
                <w:p w14:paraId="5AB92826">
                  <w:pPr>
                    <w:widowControl w:val="0"/>
                    <w:jc w:val="both"/>
                    <w:rPr>
                      <w:rFonts w:ascii="Calibri" w:hAnsi="Calibri"/>
                      <w:kern w:val="2"/>
                      <w:sz w:val="21"/>
                      <w:lang w:val="en-US" w:eastAsia="zh-CN" w:bidi="ar-SA"/>
                    </w:rPr>
                  </w:pPr>
                </w:p>
              </w:tc>
              <w:tc>
                <w:tcPr>
                  <w:tcW w:w="0" w:type="auto"/>
                  <w:noWrap w:val="0"/>
                  <w:vAlign w:val="center"/>
                </w:tcPr>
                <w:p w14:paraId="5D169A05">
                  <w:pPr>
                    <w:widowControl w:val="0"/>
                    <w:jc w:val="both"/>
                    <w:rPr>
                      <w:rFonts w:ascii="Calibri" w:hAnsi="Calibri"/>
                      <w:kern w:val="2"/>
                      <w:sz w:val="21"/>
                      <w:lang w:val="en-US" w:eastAsia="zh-CN" w:bidi="ar-SA"/>
                    </w:rPr>
                  </w:pPr>
                </w:p>
              </w:tc>
              <w:tc>
                <w:tcPr>
                  <w:tcW w:w="0" w:type="auto"/>
                  <w:noWrap w:val="0"/>
                  <w:vAlign w:val="center"/>
                </w:tcPr>
                <w:p w14:paraId="4E08B2F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EFF6D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A0E91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4ADD295A">
                  <w:pPr>
                    <w:widowControl w:val="0"/>
                    <w:jc w:val="both"/>
                    <w:rPr>
                      <w:rFonts w:ascii="Calibri" w:hAnsi="Calibri"/>
                      <w:kern w:val="2"/>
                      <w:sz w:val="21"/>
                      <w:lang w:val="en-US" w:eastAsia="zh-CN" w:bidi="ar-SA"/>
                    </w:rPr>
                  </w:pPr>
                </w:p>
              </w:tc>
            </w:tr>
            <w:tr w14:paraId="485F4AA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33FD2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31</w:t>
                  </w:r>
                </w:p>
              </w:tc>
              <w:tc>
                <w:tcPr>
                  <w:tcW w:w="240" w:type="pct"/>
                  <w:noWrap w:val="0"/>
                  <w:vAlign w:val="center"/>
                </w:tcPr>
                <w:p w14:paraId="774642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D9A13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70EE966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16545E0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1F81266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总铬</w:t>
                  </w:r>
                </w:p>
              </w:tc>
              <w:tc>
                <w:tcPr>
                  <w:tcW w:w="153" w:type="pct"/>
                  <w:noWrap w:val="0"/>
                  <w:vAlign w:val="center"/>
                </w:tcPr>
                <w:p w14:paraId="596E88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98965BF">
                  <w:pPr>
                    <w:widowControl w:val="0"/>
                    <w:jc w:val="both"/>
                    <w:rPr>
                      <w:rFonts w:ascii="Calibri" w:hAnsi="Calibri"/>
                      <w:kern w:val="2"/>
                      <w:sz w:val="21"/>
                      <w:lang w:val="en-US" w:eastAsia="zh-CN" w:bidi="ar-SA"/>
                    </w:rPr>
                  </w:pPr>
                </w:p>
              </w:tc>
              <w:tc>
                <w:tcPr>
                  <w:tcW w:w="0" w:type="auto"/>
                  <w:noWrap w:val="0"/>
                  <w:vAlign w:val="center"/>
                </w:tcPr>
                <w:p w14:paraId="46192B15">
                  <w:pPr>
                    <w:widowControl w:val="0"/>
                    <w:jc w:val="both"/>
                    <w:rPr>
                      <w:rFonts w:ascii="Calibri" w:hAnsi="Calibri"/>
                      <w:kern w:val="2"/>
                      <w:sz w:val="21"/>
                      <w:lang w:val="en-US" w:eastAsia="zh-CN" w:bidi="ar-SA"/>
                    </w:rPr>
                  </w:pPr>
                </w:p>
              </w:tc>
              <w:tc>
                <w:tcPr>
                  <w:tcW w:w="0" w:type="auto"/>
                  <w:noWrap w:val="0"/>
                  <w:vAlign w:val="center"/>
                </w:tcPr>
                <w:p w14:paraId="2AA00173">
                  <w:pPr>
                    <w:widowControl w:val="0"/>
                    <w:jc w:val="both"/>
                    <w:rPr>
                      <w:rFonts w:ascii="Calibri" w:hAnsi="Calibri"/>
                      <w:kern w:val="2"/>
                      <w:sz w:val="21"/>
                      <w:lang w:val="en-US" w:eastAsia="zh-CN" w:bidi="ar-SA"/>
                    </w:rPr>
                  </w:pPr>
                </w:p>
              </w:tc>
              <w:tc>
                <w:tcPr>
                  <w:tcW w:w="0" w:type="auto"/>
                  <w:noWrap w:val="0"/>
                  <w:vAlign w:val="center"/>
                </w:tcPr>
                <w:p w14:paraId="5422EF0B">
                  <w:pPr>
                    <w:widowControl w:val="0"/>
                    <w:jc w:val="both"/>
                    <w:rPr>
                      <w:rFonts w:ascii="Calibri" w:hAnsi="Calibri"/>
                      <w:kern w:val="2"/>
                      <w:sz w:val="21"/>
                      <w:lang w:val="en-US" w:eastAsia="zh-CN" w:bidi="ar-SA"/>
                    </w:rPr>
                  </w:pPr>
                </w:p>
              </w:tc>
              <w:tc>
                <w:tcPr>
                  <w:tcW w:w="0" w:type="auto"/>
                  <w:noWrap w:val="0"/>
                  <w:vAlign w:val="center"/>
                </w:tcPr>
                <w:p w14:paraId="42C506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DD23A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85A03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7BF59FC8">
                  <w:pPr>
                    <w:widowControl w:val="0"/>
                    <w:jc w:val="both"/>
                    <w:rPr>
                      <w:rFonts w:ascii="Calibri" w:hAnsi="Calibri"/>
                      <w:kern w:val="2"/>
                      <w:sz w:val="21"/>
                      <w:lang w:val="en-US" w:eastAsia="zh-CN" w:bidi="ar-SA"/>
                    </w:rPr>
                  </w:pPr>
                </w:p>
              </w:tc>
            </w:tr>
            <w:tr w14:paraId="2DB7973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B45D5B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32</w:t>
                  </w:r>
                </w:p>
              </w:tc>
              <w:tc>
                <w:tcPr>
                  <w:tcW w:w="240" w:type="pct"/>
                  <w:noWrap w:val="0"/>
                  <w:vAlign w:val="center"/>
                </w:tcPr>
                <w:p w14:paraId="723E1F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0F67D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CE4E9B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4EE09B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5E09BB7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总铬</w:t>
                  </w:r>
                </w:p>
              </w:tc>
              <w:tc>
                <w:tcPr>
                  <w:tcW w:w="153" w:type="pct"/>
                  <w:noWrap w:val="0"/>
                  <w:vAlign w:val="center"/>
                </w:tcPr>
                <w:p w14:paraId="281706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F580C17">
                  <w:pPr>
                    <w:widowControl w:val="0"/>
                    <w:jc w:val="both"/>
                    <w:rPr>
                      <w:rFonts w:ascii="Calibri" w:hAnsi="Calibri"/>
                      <w:kern w:val="2"/>
                      <w:sz w:val="21"/>
                      <w:lang w:val="en-US" w:eastAsia="zh-CN" w:bidi="ar-SA"/>
                    </w:rPr>
                  </w:pPr>
                </w:p>
              </w:tc>
              <w:tc>
                <w:tcPr>
                  <w:tcW w:w="0" w:type="auto"/>
                  <w:noWrap w:val="0"/>
                  <w:vAlign w:val="center"/>
                </w:tcPr>
                <w:p w14:paraId="4883E4E2">
                  <w:pPr>
                    <w:widowControl w:val="0"/>
                    <w:jc w:val="both"/>
                    <w:rPr>
                      <w:rFonts w:ascii="Calibri" w:hAnsi="Calibri"/>
                      <w:kern w:val="2"/>
                      <w:sz w:val="21"/>
                      <w:lang w:val="en-US" w:eastAsia="zh-CN" w:bidi="ar-SA"/>
                    </w:rPr>
                  </w:pPr>
                </w:p>
              </w:tc>
              <w:tc>
                <w:tcPr>
                  <w:tcW w:w="0" w:type="auto"/>
                  <w:noWrap w:val="0"/>
                  <w:vAlign w:val="center"/>
                </w:tcPr>
                <w:p w14:paraId="6BA9E298">
                  <w:pPr>
                    <w:widowControl w:val="0"/>
                    <w:jc w:val="both"/>
                    <w:rPr>
                      <w:rFonts w:ascii="Calibri" w:hAnsi="Calibri"/>
                      <w:kern w:val="2"/>
                      <w:sz w:val="21"/>
                      <w:lang w:val="en-US" w:eastAsia="zh-CN" w:bidi="ar-SA"/>
                    </w:rPr>
                  </w:pPr>
                </w:p>
              </w:tc>
              <w:tc>
                <w:tcPr>
                  <w:tcW w:w="0" w:type="auto"/>
                  <w:noWrap w:val="0"/>
                  <w:vAlign w:val="center"/>
                </w:tcPr>
                <w:p w14:paraId="52AD43B2">
                  <w:pPr>
                    <w:widowControl w:val="0"/>
                    <w:jc w:val="both"/>
                    <w:rPr>
                      <w:rFonts w:ascii="Calibri" w:hAnsi="Calibri"/>
                      <w:kern w:val="2"/>
                      <w:sz w:val="21"/>
                      <w:lang w:val="en-US" w:eastAsia="zh-CN" w:bidi="ar-SA"/>
                    </w:rPr>
                  </w:pPr>
                </w:p>
              </w:tc>
              <w:tc>
                <w:tcPr>
                  <w:tcW w:w="0" w:type="auto"/>
                  <w:noWrap w:val="0"/>
                  <w:vAlign w:val="center"/>
                </w:tcPr>
                <w:p w14:paraId="19193EF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21A24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F33D70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2CE00D34">
                  <w:pPr>
                    <w:widowControl w:val="0"/>
                    <w:jc w:val="both"/>
                    <w:rPr>
                      <w:rFonts w:ascii="Calibri" w:hAnsi="Calibri"/>
                      <w:kern w:val="2"/>
                      <w:sz w:val="21"/>
                      <w:lang w:val="en-US" w:eastAsia="zh-CN" w:bidi="ar-SA"/>
                    </w:rPr>
                  </w:pPr>
                </w:p>
              </w:tc>
            </w:tr>
            <w:tr w14:paraId="18DBF97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A1AF6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33</w:t>
                  </w:r>
                </w:p>
              </w:tc>
              <w:tc>
                <w:tcPr>
                  <w:tcW w:w="240" w:type="pct"/>
                  <w:noWrap w:val="0"/>
                  <w:vAlign w:val="center"/>
                </w:tcPr>
                <w:p w14:paraId="4F8B78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BF00C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F68A0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406468B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05D82F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总铬</w:t>
                  </w:r>
                </w:p>
              </w:tc>
              <w:tc>
                <w:tcPr>
                  <w:tcW w:w="153" w:type="pct"/>
                  <w:noWrap w:val="0"/>
                  <w:vAlign w:val="center"/>
                </w:tcPr>
                <w:p w14:paraId="2B4724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F7CDFD1">
                  <w:pPr>
                    <w:widowControl w:val="0"/>
                    <w:jc w:val="both"/>
                    <w:rPr>
                      <w:rFonts w:ascii="Calibri" w:hAnsi="Calibri"/>
                      <w:kern w:val="2"/>
                      <w:sz w:val="21"/>
                      <w:lang w:val="en-US" w:eastAsia="zh-CN" w:bidi="ar-SA"/>
                    </w:rPr>
                  </w:pPr>
                </w:p>
              </w:tc>
              <w:tc>
                <w:tcPr>
                  <w:tcW w:w="0" w:type="auto"/>
                  <w:noWrap w:val="0"/>
                  <w:vAlign w:val="center"/>
                </w:tcPr>
                <w:p w14:paraId="16870B54">
                  <w:pPr>
                    <w:widowControl w:val="0"/>
                    <w:jc w:val="both"/>
                    <w:rPr>
                      <w:rFonts w:ascii="Calibri" w:hAnsi="Calibri"/>
                      <w:kern w:val="2"/>
                      <w:sz w:val="21"/>
                      <w:lang w:val="en-US" w:eastAsia="zh-CN" w:bidi="ar-SA"/>
                    </w:rPr>
                  </w:pPr>
                </w:p>
              </w:tc>
              <w:tc>
                <w:tcPr>
                  <w:tcW w:w="0" w:type="auto"/>
                  <w:noWrap w:val="0"/>
                  <w:vAlign w:val="center"/>
                </w:tcPr>
                <w:p w14:paraId="1C0D4861">
                  <w:pPr>
                    <w:widowControl w:val="0"/>
                    <w:jc w:val="both"/>
                    <w:rPr>
                      <w:rFonts w:ascii="Calibri" w:hAnsi="Calibri"/>
                      <w:kern w:val="2"/>
                      <w:sz w:val="21"/>
                      <w:lang w:val="en-US" w:eastAsia="zh-CN" w:bidi="ar-SA"/>
                    </w:rPr>
                  </w:pPr>
                </w:p>
              </w:tc>
              <w:tc>
                <w:tcPr>
                  <w:tcW w:w="0" w:type="auto"/>
                  <w:noWrap w:val="0"/>
                  <w:vAlign w:val="center"/>
                </w:tcPr>
                <w:p w14:paraId="499B3D88">
                  <w:pPr>
                    <w:widowControl w:val="0"/>
                    <w:jc w:val="both"/>
                    <w:rPr>
                      <w:rFonts w:ascii="Calibri" w:hAnsi="Calibri"/>
                      <w:kern w:val="2"/>
                      <w:sz w:val="21"/>
                      <w:lang w:val="en-US" w:eastAsia="zh-CN" w:bidi="ar-SA"/>
                    </w:rPr>
                  </w:pPr>
                </w:p>
              </w:tc>
              <w:tc>
                <w:tcPr>
                  <w:tcW w:w="0" w:type="auto"/>
                  <w:noWrap w:val="0"/>
                  <w:vAlign w:val="center"/>
                </w:tcPr>
                <w:p w14:paraId="014EE5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E667B1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2861B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12B08C9C">
                  <w:pPr>
                    <w:widowControl w:val="0"/>
                    <w:jc w:val="both"/>
                    <w:rPr>
                      <w:rFonts w:ascii="Calibri" w:hAnsi="Calibri"/>
                      <w:kern w:val="2"/>
                      <w:sz w:val="21"/>
                      <w:lang w:val="en-US" w:eastAsia="zh-CN" w:bidi="ar-SA"/>
                    </w:rPr>
                  </w:pPr>
                </w:p>
              </w:tc>
            </w:tr>
            <w:tr w14:paraId="633BAA1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6C0E9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34</w:t>
                  </w:r>
                </w:p>
              </w:tc>
              <w:tc>
                <w:tcPr>
                  <w:tcW w:w="240" w:type="pct"/>
                  <w:noWrap w:val="0"/>
                  <w:vAlign w:val="center"/>
                </w:tcPr>
                <w:p w14:paraId="5270C82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0002C4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3255E9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0A6AD9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22F3C5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总铬</w:t>
                  </w:r>
                </w:p>
              </w:tc>
              <w:tc>
                <w:tcPr>
                  <w:tcW w:w="153" w:type="pct"/>
                  <w:noWrap w:val="0"/>
                  <w:vAlign w:val="center"/>
                </w:tcPr>
                <w:p w14:paraId="4ACD27A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A195388">
                  <w:pPr>
                    <w:widowControl w:val="0"/>
                    <w:jc w:val="both"/>
                    <w:rPr>
                      <w:rFonts w:ascii="Calibri" w:hAnsi="Calibri"/>
                      <w:kern w:val="2"/>
                      <w:sz w:val="21"/>
                      <w:lang w:val="en-US" w:eastAsia="zh-CN" w:bidi="ar-SA"/>
                    </w:rPr>
                  </w:pPr>
                </w:p>
              </w:tc>
              <w:tc>
                <w:tcPr>
                  <w:tcW w:w="0" w:type="auto"/>
                  <w:noWrap w:val="0"/>
                  <w:vAlign w:val="center"/>
                </w:tcPr>
                <w:p w14:paraId="1874F6BE">
                  <w:pPr>
                    <w:widowControl w:val="0"/>
                    <w:jc w:val="both"/>
                    <w:rPr>
                      <w:rFonts w:ascii="Calibri" w:hAnsi="Calibri"/>
                      <w:kern w:val="2"/>
                      <w:sz w:val="21"/>
                      <w:lang w:val="en-US" w:eastAsia="zh-CN" w:bidi="ar-SA"/>
                    </w:rPr>
                  </w:pPr>
                </w:p>
              </w:tc>
              <w:tc>
                <w:tcPr>
                  <w:tcW w:w="0" w:type="auto"/>
                  <w:noWrap w:val="0"/>
                  <w:vAlign w:val="center"/>
                </w:tcPr>
                <w:p w14:paraId="4A9C9FDA">
                  <w:pPr>
                    <w:widowControl w:val="0"/>
                    <w:jc w:val="both"/>
                    <w:rPr>
                      <w:rFonts w:ascii="Calibri" w:hAnsi="Calibri"/>
                      <w:kern w:val="2"/>
                      <w:sz w:val="21"/>
                      <w:lang w:val="en-US" w:eastAsia="zh-CN" w:bidi="ar-SA"/>
                    </w:rPr>
                  </w:pPr>
                </w:p>
              </w:tc>
              <w:tc>
                <w:tcPr>
                  <w:tcW w:w="0" w:type="auto"/>
                  <w:noWrap w:val="0"/>
                  <w:vAlign w:val="center"/>
                </w:tcPr>
                <w:p w14:paraId="28AAA1ED">
                  <w:pPr>
                    <w:widowControl w:val="0"/>
                    <w:jc w:val="both"/>
                    <w:rPr>
                      <w:rFonts w:ascii="Calibri" w:hAnsi="Calibri"/>
                      <w:kern w:val="2"/>
                      <w:sz w:val="21"/>
                      <w:lang w:val="en-US" w:eastAsia="zh-CN" w:bidi="ar-SA"/>
                    </w:rPr>
                  </w:pPr>
                </w:p>
              </w:tc>
              <w:tc>
                <w:tcPr>
                  <w:tcW w:w="0" w:type="auto"/>
                  <w:noWrap w:val="0"/>
                  <w:vAlign w:val="center"/>
                </w:tcPr>
                <w:p w14:paraId="12703BC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8234C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49D1A5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1E1165CB">
                  <w:pPr>
                    <w:widowControl w:val="0"/>
                    <w:jc w:val="both"/>
                    <w:rPr>
                      <w:rFonts w:ascii="Calibri" w:hAnsi="Calibri"/>
                      <w:kern w:val="2"/>
                      <w:sz w:val="21"/>
                      <w:lang w:val="en-US" w:eastAsia="zh-CN" w:bidi="ar-SA"/>
                    </w:rPr>
                  </w:pPr>
                </w:p>
              </w:tc>
            </w:tr>
            <w:tr w14:paraId="075AF74C">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F7E2B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35</w:t>
                  </w:r>
                </w:p>
              </w:tc>
              <w:tc>
                <w:tcPr>
                  <w:tcW w:w="240" w:type="pct"/>
                  <w:noWrap w:val="0"/>
                  <w:vAlign w:val="center"/>
                </w:tcPr>
                <w:p w14:paraId="7E249A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5FE09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7BA3E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4E3820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C1F20C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505E579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09C42D3">
                  <w:pPr>
                    <w:widowControl w:val="0"/>
                    <w:jc w:val="both"/>
                    <w:rPr>
                      <w:rFonts w:ascii="Calibri" w:hAnsi="Calibri"/>
                      <w:kern w:val="2"/>
                      <w:sz w:val="21"/>
                      <w:lang w:val="en-US" w:eastAsia="zh-CN" w:bidi="ar-SA"/>
                    </w:rPr>
                  </w:pPr>
                </w:p>
              </w:tc>
              <w:tc>
                <w:tcPr>
                  <w:tcW w:w="0" w:type="auto"/>
                  <w:noWrap w:val="0"/>
                  <w:vAlign w:val="center"/>
                </w:tcPr>
                <w:p w14:paraId="782FCAFF">
                  <w:pPr>
                    <w:widowControl w:val="0"/>
                    <w:jc w:val="both"/>
                    <w:rPr>
                      <w:rFonts w:ascii="Calibri" w:hAnsi="Calibri"/>
                      <w:kern w:val="2"/>
                      <w:sz w:val="21"/>
                      <w:lang w:val="en-US" w:eastAsia="zh-CN" w:bidi="ar-SA"/>
                    </w:rPr>
                  </w:pPr>
                </w:p>
              </w:tc>
              <w:tc>
                <w:tcPr>
                  <w:tcW w:w="0" w:type="auto"/>
                  <w:noWrap w:val="0"/>
                  <w:vAlign w:val="center"/>
                </w:tcPr>
                <w:p w14:paraId="6B7E4EBB">
                  <w:pPr>
                    <w:widowControl w:val="0"/>
                    <w:jc w:val="both"/>
                    <w:rPr>
                      <w:rFonts w:ascii="Calibri" w:hAnsi="Calibri"/>
                      <w:kern w:val="2"/>
                      <w:sz w:val="21"/>
                      <w:lang w:val="en-US" w:eastAsia="zh-CN" w:bidi="ar-SA"/>
                    </w:rPr>
                  </w:pPr>
                </w:p>
              </w:tc>
              <w:tc>
                <w:tcPr>
                  <w:tcW w:w="0" w:type="auto"/>
                  <w:noWrap w:val="0"/>
                  <w:vAlign w:val="center"/>
                </w:tcPr>
                <w:p w14:paraId="459CC435">
                  <w:pPr>
                    <w:widowControl w:val="0"/>
                    <w:jc w:val="both"/>
                    <w:rPr>
                      <w:rFonts w:ascii="Calibri" w:hAnsi="Calibri"/>
                      <w:kern w:val="2"/>
                      <w:sz w:val="21"/>
                      <w:lang w:val="en-US" w:eastAsia="zh-CN" w:bidi="ar-SA"/>
                    </w:rPr>
                  </w:pPr>
                </w:p>
              </w:tc>
              <w:tc>
                <w:tcPr>
                  <w:tcW w:w="0" w:type="auto"/>
                  <w:noWrap w:val="0"/>
                  <w:vAlign w:val="center"/>
                </w:tcPr>
                <w:p w14:paraId="7B93C2D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3B45E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DDCB0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《土壤和沉积物六价铬的 测定碱溶液提 取-火焰原子吸收分光光度法》（HJ 1082-2019）</w:t>
                  </w:r>
                </w:p>
              </w:tc>
              <w:tc>
                <w:tcPr>
                  <w:tcW w:w="83" w:type="pct"/>
                  <w:noWrap w:val="0"/>
                  <w:vAlign w:val="center"/>
                </w:tcPr>
                <w:p w14:paraId="744461A2">
                  <w:pPr>
                    <w:widowControl w:val="0"/>
                    <w:jc w:val="both"/>
                    <w:rPr>
                      <w:rFonts w:ascii="Calibri" w:hAnsi="Calibri"/>
                      <w:kern w:val="2"/>
                      <w:sz w:val="21"/>
                      <w:lang w:val="en-US" w:eastAsia="zh-CN" w:bidi="ar-SA"/>
                    </w:rPr>
                  </w:pPr>
                </w:p>
              </w:tc>
            </w:tr>
            <w:tr w14:paraId="68B2907C">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39E49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36</w:t>
                  </w:r>
                </w:p>
              </w:tc>
              <w:tc>
                <w:tcPr>
                  <w:tcW w:w="240" w:type="pct"/>
                  <w:noWrap w:val="0"/>
                  <w:vAlign w:val="center"/>
                </w:tcPr>
                <w:p w14:paraId="300F3F2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5F0A5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C48B20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5668E5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D95DA7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7A78A0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8B60D2C">
                  <w:pPr>
                    <w:widowControl w:val="0"/>
                    <w:jc w:val="both"/>
                    <w:rPr>
                      <w:rFonts w:ascii="Calibri" w:hAnsi="Calibri"/>
                      <w:kern w:val="2"/>
                      <w:sz w:val="21"/>
                      <w:lang w:val="en-US" w:eastAsia="zh-CN" w:bidi="ar-SA"/>
                    </w:rPr>
                  </w:pPr>
                </w:p>
              </w:tc>
              <w:tc>
                <w:tcPr>
                  <w:tcW w:w="0" w:type="auto"/>
                  <w:noWrap w:val="0"/>
                  <w:vAlign w:val="center"/>
                </w:tcPr>
                <w:p w14:paraId="4909A4C8">
                  <w:pPr>
                    <w:widowControl w:val="0"/>
                    <w:jc w:val="both"/>
                    <w:rPr>
                      <w:rFonts w:ascii="Calibri" w:hAnsi="Calibri"/>
                      <w:kern w:val="2"/>
                      <w:sz w:val="21"/>
                      <w:lang w:val="en-US" w:eastAsia="zh-CN" w:bidi="ar-SA"/>
                    </w:rPr>
                  </w:pPr>
                </w:p>
              </w:tc>
              <w:tc>
                <w:tcPr>
                  <w:tcW w:w="0" w:type="auto"/>
                  <w:noWrap w:val="0"/>
                  <w:vAlign w:val="center"/>
                </w:tcPr>
                <w:p w14:paraId="4753316D">
                  <w:pPr>
                    <w:widowControl w:val="0"/>
                    <w:jc w:val="both"/>
                    <w:rPr>
                      <w:rFonts w:ascii="Calibri" w:hAnsi="Calibri"/>
                      <w:kern w:val="2"/>
                      <w:sz w:val="21"/>
                      <w:lang w:val="en-US" w:eastAsia="zh-CN" w:bidi="ar-SA"/>
                    </w:rPr>
                  </w:pPr>
                </w:p>
              </w:tc>
              <w:tc>
                <w:tcPr>
                  <w:tcW w:w="0" w:type="auto"/>
                  <w:noWrap w:val="0"/>
                  <w:vAlign w:val="center"/>
                </w:tcPr>
                <w:p w14:paraId="246A90B5">
                  <w:pPr>
                    <w:widowControl w:val="0"/>
                    <w:jc w:val="both"/>
                    <w:rPr>
                      <w:rFonts w:ascii="Calibri" w:hAnsi="Calibri"/>
                      <w:kern w:val="2"/>
                      <w:sz w:val="21"/>
                      <w:lang w:val="en-US" w:eastAsia="zh-CN" w:bidi="ar-SA"/>
                    </w:rPr>
                  </w:pPr>
                </w:p>
              </w:tc>
              <w:tc>
                <w:tcPr>
                  <w:tcW w:w="0" w:type="auto"/>
                  <w:noWrap w:val="0"/>
                  <w:vAlign w:val="center"/>
                </w:tcPr>
                <w:p w14:paraId="54C46DF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C42AE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62094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《土壤和沉积物六价铬的 测定碱溶液提 取-火焰原子吸收分光光度法》（HJ 1082-2019）</w:t>
                  </w:r>
                </w:p>
              </w:tc>
              <w:tc>
                <w:tcPr>
                  <w:tcW w:w="83" w:type="pct"/>
                  <w:noWrap w:val="0"/>
                  <w:vAlign w:val="center"/>
                </w:tcPr>
                <w:p w14:paraId="36E20A27">
                  <w:pPr>
                    <w:widowControl w:val="0"/>
                    <w:jc w:val="both"/>
                    <w:rPr>
                      <w:rFonts w:ascii="Calibri" w:hAnsi="Calibri"/>
                      <w:kern w:val="2"/>
                      <w:sz w:val="21"/>
                      <w:lang w:val="en-US" w:eastAsia="zh-CN" w:bidi="ar-SA"/>
                    </w:rPr>
                  </w:pPr>
                </w:p>
              </w:tc>
            </w:tr>
            <w:tr w14:paraId="29D38A5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43253B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37</w:t>
                  </w:r>
                </w:p>
              </w:tc>
              <w:tc>
                <w:tcPr>
                  <w:tcW w:w="240" w:type="pct"/>
                  <w:noWrap w:val="0"/>
                  <w:vAlign w:val="center"/>
                </w:tcPr>
                <w:p w14:paraId="239FB5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6721A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3094C2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109EF2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2AACB5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491A5A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85D30B1">
                  <w:pPr>
                    <w:widowControl w:val="0"/>
                    <w:jc w:val="both"/>
                    <w:rPr>
                      <w:rFonts w:ascii="Calibri" w:hAnsi="Calibri"/>
                      <w:kern w:val="2"/>
                      <w:sz w:val="21"/>
                      <w:lang w:val="en-US" w:eastAsia="zh-CN" w:bidi="ar-SA"/>
                    </w:rPr>
                  </w:pPr>
                </w:p>
              </w:tc>
              <w:tc>
                <w:tcPr>
                  <w:tcW w:w="0" w:type="auto"/>
                  <w:noWrap w:val="0"/>
                  <w:vAlign w:val="center"/>
                </w:tcPr>
                <w:p w14:paraId="5B3CDF87">
                  <w:pPr>
                    <w:widowControl w:val="0"/>
                    <w:jc w:val="both"/>
                    <w:rPr>
                      <w:rFonts w:ascii="Calibri" w:hAnsi="Calibri"/>
                      <w:kern w:val="2"/>
                      <w:sz w:val="21"/>
                      <w:lang w:val="en-US" w:eastAsia="zh-CN" w:bidi="ar-SA"/>
                    </w:rPr>
                  </w:pPr>
                </w:p>
              </w:tc>
              <w:tc>
                <w:tcPr>
                  <w:tcW w:w="0" w:type="auto"/>
                  <w:noWrap w:val="0"/>
                  <w:vAlign w:val="center"/>
                </w:tcPr>
                <w:p w14:paraId="7D2CF1D7">
                  <w:pPr>
                    <w:widowControl w:val="0"/>
                    <w:jc w:val="both"/>
                    <w:rPr>
                      <w:rFonts w:ascii="Calibri" w:hAnsi="Calibri"/>
                      <w:kern w:val="2"/>
                      <w:sz w:val="21"/>
                      <w:lang w:val="en-US" w:eastAsia="zh-CN" w:bidi="ar-SA"/>
                    </w:rPr>
                  </w:pPr>
                </w:p>
              </w:tc>
              <w:tc>
                <w:tcPr>
                  <w:tcW w:w="0" w:type="auto"/>
                  <w:noWrap w:val="0"/>
                  <w:vAlign w:val="center"/>
                </w:tcPr>
                <w:p w14:paraId="433C143E">
                  <w:pPr>
                    <w:widowControl w:val="0"/>
                    <w:jc w:val="both"/>
                    <w:rPr>
                      <w:rFonts w:ascii="Calibri" w:hAnsi="Calibri"/>
                      <w:kern w:val="2"/>
                      <w:sz w:val="21"/>
                      <w:lang w:val="en-US" w:eastAsia="zh-CN" w:bidi="ar-SA"/>
                    </w:rPr>
                  </w:pPr>
                </w:p>
              </w:tc>
              <w:tc>
                <w:tcPr>
                  <w:tcW w:w="0" w:type="auto"/>
                  <w:noWrap w:val="0"/>
                  <w:vAlign w:val="center"/>
                </w:tcPr>
                <w:p w14:paraId="2B232A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65DCA9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C790B0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《土壤和沉积物六价铬的 测定碱溶液提 取-火焰原子吸收分光光度法》（HJ 1082-2019）</w:t>
                  </w:r>
                </w:p>
              </w:tc>
              <w:tc>
                <w:tcPr>
                  <w:tcW w:w="83" w:type="pct"/>
                  <w:noWrap w:val="0"/>
                  <w:vAlign w:val="center"/>
                </w:tcPr>
                <w:p w14:paraId="74B1DE83">
                  <w:pPr>
                    <w:widowControl w:val="0"/>
                    <w:jc w:val="both"/>
                    <w:rPr>
                      <w:rFonts w:ascii="Calibri" w:hAnsi="Calibri"/>
                      <w:kern w:val="2"/>
                      <w:sz w:val="21"/>
                      <w:lang w:val="en-US" w:eastAsia="zh-CN" w:bidi="ar-SA"/>
                    </w:rPr>
                  </w:pPr>
                </w:p>
              </w:tc>
            </w:tr>
            <w:tr w14:paraId="731733F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751555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38</w:t>
                  </w:r>
                </w:p>
              </w:tc>
              <w:tc>
                <w:tcPr>
                  <w:tcW w:w="240" w:type="pct"/>
                  <w:noWrap w:val="0"/>
                  <w:vAlign w:val="center"/>
                </w:tcPr>
                <w:p w14:paraId="12C98DB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289C0B6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B4DCB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615988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2E2ACDA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605B64A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AF9DBC3">
                  <w:pPr>
                    <w:widowControl w:val="0"/>
                    <w:jc w:val="both"/>
                    <w:rPr>
                      <w:rFonts w:ascii="Calibri" w:hAnsi="Calibri"/>
                      <w:kern w:val="2"/>
                      <w:sz w:val="21"/>
                      <w:lang w:val="en-US" w:eastAsia="zh-CN" w:bidi="ar-SA"/>
                    </w:rPr>
                  </w:pPr>
                </w:p>
              </w:tc>
              <w:tc>
                <w:tcPr>
                  <w:tcW w:w="0" w:type="auto"/>
                  <w:noWrap w:val="0"/>
                  <w:vAlign w:val="center"/>
                </w:tcPr>
                <w:p w14:paraId="2C8796A5">
                  <w:pPr>
                    <w:widowControl w:val="0"/>
                    <w:jc w:val="both"/>
                    <w:rPr>
                      <w:rFonts w:ascii="Calibri" w:hAnsi="Calibri"/>
                      <w:kern w:val="2"/>
                      <w:sz w:val="21"/>
                      <w:lang w:val="en-US" w:eastAsia="zh-CN" w:bidi="ar-SA"/>
                    </w:rPr>
                  </w:pPr>
                </w:p>
              </w:tc>
              <w:tc>
                <w:tcPr>
                  <w:tcW w:w="0" w:type="auto"/>
                  <w:noWrap w:val="0"/>
                  <w:vAlign w:val="center"/>
                </w:tcPr>
                <w:p w14:paraId="756C311D">
                  <w:pPr>
                    <w:widowControl w:val="0"/>
                    <w:jc w:val="both"/>
                    <w:rPr>
                      <w:rFonts w:ascii="Calibri" w:hAnsi="Calibri"/>
                      <w:kern w:val="2"/>
                      <w:sz w:val="21"/>
                      <w:lang w:val="en-US" w:eastAsia="zh-CN" w:bidi="ar-SA"/>
                    </w:rPr>
                  </w:pPr>
                </w:p>
              </w:tc>
              <w:tc>
                <w:tcPr>
                  <w:tcW w:w="0" w:type="auto"/>
                  <w:noWrap w:val="0"/>
                  <w:vAlign w:val="center"/>
                </w:tcPr>
                <w:p w14:paraId="5E04CA5A">
                  <w:pPr>
                    <w:widowControl w:val="0"/>
                    <w:jc w:val="both"/>
                    <w:rPr>
                      <w:rFonts w:ascii="Calibri" w:hAnsi="Calibri"/>
                      <w:kern w:val="2"/>
                      <w:sz w:val="21"/>
                      <w:lang w:val="en-US" w:eastAsia="zh-CN" w:bidi="ar-SA"/>
                    </w:rPr>
                  </w:pPr>
                </w:p>
              </w:tc>
              <w:tc>
                <w:tcPr>
                  <w:tcW w:w="0" w:type="auto"/>
                  <w:noWrap w:val="0"/>
                  <w:vAlign w:val="center"/>
                </w:tcPr>
                <w:p w14:paraId="18582B5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D44A9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660776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《土壤和沉积物六价铬的 测定碱溶液提 取-火焰原子吸收分光光度法》（HJ 1082-2019）</w:t>
                  </w:r>
                </w:p>
              </w:tc>
              <w:tc>
                <w:tcPr>
                  <w:tcW w:w="83" w:type="pct"/>
                  <w:noWrap w:val="0"/>
                  <w:vAlign w:val="center"/>
                </w:tcPr>
                <w:p w14:paraId="318FAA35">
                  <w:pPr>
                    <w:widowControl w:val="0"/>
                    <w:jc w:val="both"/>
                    <w:rPr>
                      <w:rFonts w:ascii="Calibri" w:hAnsi="Calibri"/>
                      <w:kern w:val="2"/>
                      <w:sz w:val="21"/>
                      <w:lang w:val="en-US" w:eastAsia="zh-CN" w:bidi="ar-SA"/>
                    </w:rPr>
                  </w:pPr>
                </w:p>
              </w:tc>
            </w:tr>
            <w:tr w14:paraId="71FBEED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D6D04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39</w:t>
                  </w:r>
                </w:p>
              </w:tc>
              <w:tc>
                <w:tcPr>
                  <w:tcW w:w="240" w:type="pct"/>
                  <w:noWrap w:val="0"/>
                  <w:vAlign w:val="center"/>
                </w:tcPr>
                <w:p w14:paraId="71EBBA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3681873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A66ED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4DB3FB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7D67791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5C70ECC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5B140BF">
                  <w:pPr>
                    <w:widowControl w:val="0"/>
                    <w:jc w:val="both"/>
                    <w:rPr>
                      <w:rFonts w:ascii="Calibri" w:hAnsi="Calibri"/>
                      <w:kern w:val="2"/>
                      <w:sz w:val="21"/>
                      <w:lang w:val="en-US" w:eastAsia="zh-CN" w:bidi="ar-SA"/>
                    </w:rPr>
                  </w:pPr>
                </w:p>
              </w:tc>
              <w:tc>
                <w:tcPr>
                  <w:tcW w:w="0" w:type="auto"/>
                  <w:noWrap w:val="0"/>
                  <w:vAlign w:val="center"/>
                </w:tcPr>
                <w:p w14:paraId="09C9319D">
                  <w:pPr>
                    <w:widowControl w:val="0"/>
                    <w:jc w:val="both"/>
                    <w:rPr>
                      <w:rFonts w:ascii="Calibri" w:hAnsi="Calibri"/>
                      <w:kern w:val="2"/>
                      <w:sz w:val="21"/>
                      <w:lang w:val="en-US" w:eastAsia="zh-CN" w:bidi="ar-SA"/>
                    </w:rPr>
                  </w:pPr>
                </w:p>
              </w:tc>
              <w:tc>
                <w:tcPr>
                  <w:tcW w:w="0" w:type="auto"/>
                  <w:noWrap w:val="0"/>
                  <w:vAlign w:val="center"/>
                </w:tcPr>
                <w:p w14:paraId="753595CC">
                  <w:pPr>
                    <w:widowControl w:val="0"/>
                    <w:jc w:val="both"/>
                    <w:rPr>
                      <w:rFonts w:ascii="Calibri" w:hAnsi="Calibri"/>
                      <w:kern w:val="2"/>
                      <w:sz w:val="21"/>
                      <w:lang w:val="en-US" w:eastAsia="zh-CN" w:bidi="ar-SA"/>
                    </w:rPr>
                  </w:pPr>
                </w:p>
              </w:tc>
              <w:tc>
                <w:tcPr>
                  <w:tcW w:w="0" w:type="auto"/>
                  <w:noWrap w:val="0"/>
                  <w:vAlign w:val="center"/>
                </w:tcPr>
                <w:p w14:paraId="58A96708">
                  <w:pPr>
                    <w:widowControl w:val="0"/>
                    <w:jc w:val="both"/>
                    <w:rPr>
                      <w:rFonts w:ascii="Calibri" w:hAnsi="Calibri"/>
                      <w:kern w:val="2"/>
                      <w:sz w:val="21"/>
                      <w:lang w:val="en-US" w:eastAsia="zh-CN" w:bidi="ar-SA"/>
                    </w:rPr>
                  </w:pPr>
                </w:p>
              </w:tc>
              <w:tc>
                <w:tcPr>
                  <w:tcW w:w="0" w:type="auto"/>
                  <w:noWrap w:val="0"/>
                  <w:vAlign w:val="center"/>
                </w:tcPr>
                <w:p w14:paraId="392D9F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0D142D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B22B13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《土壤和沉积物六价铬的 测定碱溶液提 取-火焰原子吸收分光光度法》（HJ 1082-2019）</w:t>
                  </w:r>
                </w:p>
              </w:tc>
              <w:tc>
                <w:tcPr>
                  <w:tcW w:w="83" w:type="pct"/>
                  <w:noWrap w:val="0"/>
                  <w:vAlign w:val="center"/>
                </w:tcPr>
                <w:p w14:paraId="15FE31EE">
                  <w:pPr>
                    <w:widowControl w:val="0"/>
                    <w:jc w:val="both"/>
                    <w:rPr>
                      <w:rFonts w:ascii="Calibri" w:hAnsi="Calibri"/>
                      <w:kern w:val="2"/>
                      <w:sz w:val="21"/>
                      <w:lang w:val="en-US" w:eastAsia="zh-CN" w:bidi="ar-SA"/>
                    </w:rPr>
                  </w:pPr>
                </w:p>
              </w:tc>
            </w:tr>
            <w:tr w14:paraId="2C7018F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62DE9C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40</w:t>
                  </w:r>
                </w:p>
              </w:tc>
              <w:tc>
                <w:tcPr>
                  <w:tcW w:w="240" w:type="pct"/>
                  <w:noWrap w:val="0"/>
                  <w:vAlign w:val="center"/>
                </w:tcPr>
                <w:p w14:paraId="00AB326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0D570D9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80FDD3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5A536E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37CC45D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3C6068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0C39A87">
                  <w:pPr>
                    <w:widowControl w:val="0"/>
                    <w:jc w:val="both"/>
                    <w:rPr>
                      <w:rFonts w:ascii="Calibri" w:hAnsi="Calibri"/>
                      <w:kern w:val="2"/>
                      <w:sz w:val="21"/>
                      <w:lang w:val="en-US" w:eastAsia="zh-CN" w:bidi="ar-SA"/>
                    </w:rPr>
                  </w:pPr>
                </w:p>
              </w:tc>
              <w:tc>
                <w:tcPr>
                  <w:tcW w:w="0" w:type="auto"/>
                  <w:noWrap w:val="0"/>
                  <w:vAlign w:val="center"/>
                </w:tcPr>
                <w:p w14:paraId="39079B0D">
                  <w:pPr>
                    <w:widowControl w:val="0"/>
                    <w:jc w:val="both"/>
                    <w:rPr>
                      <w:rFonts w:ascii="Calibri" w:hAnsi="Calibri"/>
                      <w:kern w:val="2"/>
                      <w:sz w:val="21"/>
                      <w:lang w:val="en-US" w:eastAsia="zh-CN" w:bidi="ar-SA"/>
                    </w:rPr>
                  </w:pPr>
                </w:p>
              </w:tc>
              <w:tc>
                <w:tcPr>
                  <w:tcW w:w="0" w:type="auto"/>
                  <w:noWrap w:val="0"/>
                  <w:vAlign w:val="center"/>
                </w:tcPr>
                <w:p w14:paraId="4CF0DB7F">
                  <w:pPr>
                    <w:widowControl w:val="0"/>
                    <w:jc w:val="both"/>
                    <w:rPr>
                      <w:rFonts w:ascii="Calibri" w:hAnsi="Calibri"/>
                      <w:kern w:val="2"/>
                      <w:sz w:val="21"/>
                      <w:lang w:val="en-US" w:eastAsia="zh-CN" w:bidi="ar-SA"/>
                    </w:rPr>
                  </w:pPr>
                </w:p>
              </w:tc>
              <w:tc>
                <w:tcPr>
                  <w:tcW w:w="0" w:type="auto"/>
                  <w:noWrap w:val="0"/>
                  <w:vAlign w:val="center"/>
                </w:tcPr>
                <w:p w14:paraId="4CCE6A82">
                  <w:pPr>
                    <w:widowControl w:val="0"/>
                    <w:jc w:val="both"/>
                    <w:rPr>
                      <w:rFonts w:ascii="Calibri" w:hAnsi="Calibri"/>
                      <w:kern w:val="2"/>
                      <w:sz w:val="21"/>
                      <w:lang w:val="en-US" w:eastAsia="zh-CN" w:bidi="ar-SA"/>
                    </w:rPr>
                  </w:pPr>
                </w:p>
              </w:tc>
              <w:tc>
                <w:tcPr>
                  <w:tcW w:w="0" w:type="auto"/>
                  <w:noWrap w:val="0"/>
                  <w:vAlign w:val="center"/>
                </w:tcPr>
                <w:p w14:paraId="1B00739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A3E95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DCFF67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《土壤和沉积物六价铬的 测定碱溶液提 取-火焰原子吸收分光光度法》（HJ 1082-2019）</w:t>
                  </w:r>
                </w:p>
              </w:tc>
              <w:tc>
                <w:tcPr>
                  <w:tcW w:w="83" w:type="pct"/>
                  <w:noWrap w:val="0"/>
                  <w:vAlign w:val="center"/>
                </w:tcPr>
                <w:p w14:paraId="2B44EB5E">
                  <w:pPr>
                    <w:widowControl w:val="0"/>
                    <w:jc w:val="both"/>
                    <w:rPr>
                      <w:rFonts w:ascii="Calibri" w:hAnsi="Calibri"/>
                      <w:kern w:val="2"/>
                      <w:sz w:val="21"/>
                      <w:lang w:val="en-US" w:eastAsia="zh-CN" w:bidi="ar-SA"/>
                    </w:rPr>
                  </w:pPr>
                </w:p>
              </w:tc>
            </w:tr>
            <w:tr w14:paraId="49BACB2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27949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41</w:t>
                  </w:r>
                </w:p>
              </w:tc>
              <w:tc>
                <w:tcPr>
                  <w:tcW w:w="240" w:type="pct"/>
                  <w:noWrap w:val="0"/>
                  <w:vAlign w:val="center"/>
                </w:tcPr>
                <w:p w14:paraId="394B11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F76083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9DE14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33ABF9C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5788A24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271014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88F0037">
                  <w:pPr>
                    <w:widowControl w:val="0"/>
                    <w:jc w:val="both"/>
                    <w:rPr>
                      <w:rFonts w:ascii="Calibri" w:hAnsi="Calibri"/>
                      <w:kern w:val="2"/>
                      <w:sz w:val="21"/>
                      <w:lang w:val="en-US" w:eastAsia="zh-CN" w:bidi="ar-SA"/>
                    </w:rPr>
                  </w:pPr>
                </w:p>
              </w:tc>
              <w:tc>
                <w:tcPr>
                  <w:tcW w:w="0" w:type="auto"/>
                  <w:noWrap w:val="0"/>
                  <w:vAlign w:val="center"/>
                </w:tcPr>
                <w:p w14:paraId="25BBC587">
                  <w:pPr>
                    <w:widowControl w:val="0"/>
                    <w:jc w:val="both"/>
                    <w:rPr>
                      <w:rFonts w:ascii="Calibri" w:hAnsi="Calibri"/>
                      <w:kern w:val="2"/>
                      <w:sz w:val="21"/>
                      <w:lang w:val="en-US" w:eastAsia="zh-CN" w:bidi="ar-SA"/>
                    </w:rPr>
                  </w:pPr>
                </w:p>
              </w:tc>
              <w:tc>
                <w:tcPr>
                  <w:tcW w:w="0" w:type="auto"/>
                  <w:noWrap w:val="0"/>
                  <w:vAlign w:val="center"/>
                </w:tcPr>
                <w:p w14:paraId="17E86373">
                  <w:pPr>
                    <w:widowControl w:val="0"/>
                    <w:jc w:val="both"/>
                    <w:rPr>
                      <w:rFonts w:ascii="Calibri" w:hAnsi="Calibri"/>
                      <w:kern w:val="2"/>
                      <w:sz w:val="21"/>
                      <w:lang w:val="en-US" w:eastAsia="zh-CN" w:bidi="ar-SA"/>
                    </w:rPr>
                  </w:pPr>
                </w:p>
              </w:tc>
              <w:tc>
                <w:tcPr>
                  <w:tcW w:w="0" w:type="auto"/>
                  <w:noWrap w:val="0"/>
                  <w:vAlign w:val="center"/>
                </w:tcPr>
                <w:p w14:paraId="69631F53">
                  <w:pPr>
                    <w:widowControl w:val="0"/>
                    <w:jc w:val="both"/>
                    <w:rPr>
                      <w:rFonts w:ascii="Calibri" w:hAnsi="Calibri"/>
                      <w:kern w:val="2"/>
                      <w:sz w:val="21"/>
                      <w:lang w:val="en-US" w:eastAsia="zh-CN" w:bidi="ar-SA"/>
                    </w:rPr>
                  </w:pPr>
                </w:p>
              </w:tc>
              <w:tc>
                <w:tcPr>
                  <w:tcW w:w="0" w:type="auto"/>
                  <w:noWrap w:val="0"/>
                  <w:vAlign w:val="center"/>
                </w:tcPr>
                <w:p w14:paraId="4F1188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004434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3C43EE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191941F9">
                  <w:pPr>
                    <w:widowControl w:val="0"/>
                    <w:jc w:val="both"/>
                    <w:rPr>
                      <w:rFonts w:ascii="Calibri" w:hAnsi="Calibri"/>
                      <w:kern w:val="2"/>
                      <w:sz w:val="21"/>
                      <w:lang w:val="en-US" w:eastAsia="zh-CN" w:bidi="ar-SA"/>
                    </w:rPr>
                  </w:pPr>
                </w:p>
              </w:tc>
            </w:tr>
            <w:tr w14:paraId="248CDB4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B480A7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42</w:t>
                  </w:r>
                </w:p>
              </w:tc>
              <w:tc>
                <w:tcPr>
                  <w:tcW w:w="240" w:type="pct"/>
                  <w:noWrap w:val="0"/>
                  <w:vAlign w:val="center"/>
                </w:tcPr>
                <w:p w14:paraId="7C4D1F2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24C1F6C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09BB8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263EBA3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741BC9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10C6FF2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5D867A9">
                  <w:pPr>
                    <w:widowControl w:val="0"/>
                    <w:jc w:val="both"/>
                    <w:rPr>
                      <w:rFonts w:ascii="Calibri" w:hAnsi="Calibri"/>
                      <w:kern w:val="2"/>
                      <w:sz w:val="21"/>
                      <w:lang w:val="en-US" w:eastAsia="zh-CN" w:bidi="ar-SA"/>
                    </w:rPr>
                  </w:pPr>
                </w:p>
              </w:tc>
              <w:tc>
                <w:tcPr>
                  <w:tcW w:w="0" w:type="auto"/>
                  <w:noWrap w:val="0"/>
                  <w:vAlign w:val="center"/>
                </w:tcPr>
                <w:p w14:paraId="3EA26F77">
                  <w:pPr>
                    <w:widowControl w:val="0"/>
                    <w:jc w:val="both"/>
                    <w:rPr>
                      <w:rFonts w:ascii="Calibri" w:hAnsi="Calibri"/>
                      <w:kern w:val="2"/>
                      <w:sz w:val="21"/>
                      <w:lang w:val="en-US" w:eastAsia="zh-CN" w:bidi="ar-SA"/>
                    </w:rPr>
                  </w:pPr>
                </w:p>
              </w:tc>
              <w:tc>
                <w:tcPr>
                  <w:tcW w:w="0" w:type="auto"/>
                  <w:noWrap w:val="0"/>
                  <w:vAlign w:val="center"/>
                </w:tcPr>
                <w:p w14:paraId="61FB3703">
                  <w:pPr>
                    <w:widowControl w:val="0"/>
                    <w:jc w:val="both"/>
                    <w:rPr>
                      <w:rFonts w:ascii="Calibri" w:hAnsi="Calibri"/>
                      <w:kern w:val="2"/>
                      <w:sz w:val="21"/>
                      <w:lang w:val="en-US" w:eastAsia="zh-CN" w:bidi="ar-SA"/>
                    </w:rPr>
                  </w:pPr>
                </w:p>
              </w:tc>
              <w:tc>
                <w:tcPr>
                  <w:tcW w:w="0" w:type="auto"/>
                  <w:noWrap w:val="0"/>
                  <w:vAlign w:val="center"/>
                </w:tcPr>
                <w:p w14:paraId="21C7BE48">
                  <w:pPr>
                    <w:widowControl w:val="0"/>
                    <w:jc w:val="both"/>
                    <w:rPr>
                      <w:rFonts w:ascii="Calibri" w:hAnsi="Calibri"/>
                      <w:kern w:val="2"/>
                      <w:sz w:val="21"/>
                      <w:lang w:val="en-US" w:eastAsia="zh-CN" w:bidi="ar-SA"/>
                    </w:rPr>
                  </w:pPr>
                </w:p>
              </w:tc>
              <w:tc>
                <w:tcPr>
                  <w:tcW w:w="0" w:type="auto"/>
                  <w:noWrap w:val="0"/>
                  <w:vAlign w:val="center"/>
                </w:tcPr>
                <w:p w14:paraId="3C7A83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87ED08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A8DD1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1A246109">
                  <w:pPr>
                    <w:widowControl w:val="0"/>
                    <w:jc w:val="both"/>
                    <w:rPr>
                      <w:rFonts w:ascii="Calibri" w:hAnsi="Calibri"/>
                      <w:kern w:val="2"/>
                      <w:sz w:val="21"/>
                      <w:lang w:val="en-US" w:eastAsia="zh-CN" w:bidi="ar-SA"/>
                    </w:rPr>
                  </w:pPr>
                </w:p>
              </w:tc>
            </w:tr>
            <w:tr w14:paraId="083B877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41816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43</w:t>
                  </w:r>
                </w:p>
              </w:tc>
              <w:tc>
                <w:tcPr>
                  <w:tcW w:w="240" w:type="pct"/>
                  <w:noWrap w:val="0"/>
                  <w:vAlign w:val="center"/>
                </w:tcPr>
                <w:p w14:paraId="5EA529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477EFB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50A63A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2BAF20B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3B5DB6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31D1B2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E2DDD27">
                  <w:pPr>
                    <w:widowControl w:val="0"/>
                    <w:jc w:val="both"/>
                    <w:rPr>
                      <w:rFonts w:ascii="Calibri" w:hAnsi="Calibri"/>
                      <w:kern w:val="2"/>
                      <w:sz w:val="21"/>
                      <w:lang w:val="en-US" w:eastAsia="zh-CN" w:bidi="ar-SA"/>
                    </w:rPr>
                  </w:pPr>
                </w:p>
              </w:tc>
              <w:tc>
                <w:tcPr>
                  <w:tcW w:w="0" w:type="auto"/>
                  <w:noWrap w:val="0"/>
                  <w:vAlign w:val="center"/>
                </w:tcPr>
                <w:p w14:paraId="05BCE40F">
                  <w:pPr>
                    <w:widowControl w:val="0"/>
                    <w:jc w:val="both"/>
                    <w:rPr>
                      <w:rFonts w:ascii="Calibri" w:hAnsi="Calibri"/>
                      <w:kern w:val="2"/>
                      <w:sz w:val="21"/>
                      <w:lang w:val="en-US" w:eastAsia="zh-CN" w:bidi="ar-SA"/>
                    </w:rPr>
                  </w:pPr>
                </w:p>
              </w:tc>
              <w:tc>
                <w:tcPr>
                  <w:tcW w:w="0" w:type="auto"/>
                  <w:noWrap w:val="0"/>
                  <w:vAlign w:val="center"/>
                </w:tcPr>
                <w:p w14:paraId="43EF0A60">
                  <w:pPr>
                    <w:widowControl w:val="0"/>
                    <w:jc w:val="both"/>
                    <w:rPr>
                      <w:rFonts w:ascii="Calibri" w:hAnsi="Calibri"/>
                      <w:kern w:val="2"/>
                      <w:sz w:val="21"/>
                      <w:lang w:val="en-US" w:eastAsia="zh-CN" w:bidi="ar-SA"/>
                    </w:rPr>
                  </w:pPr>
                </w:p>
              </w:tc>
              <w:tc>
                <w:tcPr>
                  <w:tcW w:w="0" w:type="auto"/>
                  <w:noWrap w:val="0"/>
                  <w:vAlign w:val="center"/>
                </w:tcPr>
                <w:p w14:paraId="35DE90B6">
                  <w:pPr>
                    <w:widowControl w:val="0"/>
                    <w:jc w:val="both"/>
                    <w:rPr>
                      <w:rFonts w:ascii="Calibri" w:hAnsi="Calibri"/>
                      <w:kern w:val="2"/>
                      <w:sz w:val="21"/>
                      <w:lang w:val="en-US" w:eastAsia="zh-CN" w:bidi="ar-SA"/>
                    </w:rPr>
                  </w:pPr>
                </w:p>
              </w:tc>
              <w:tc>
                <w:tcPr>
                  <w:tcW w:w="0" w:type="auto"/>
                  <w:noWrap w:val="0"/>
                  <w:vAlign w:val="center"/>
                </w:tcPr>
                <w:p w14:paraId="56BF1A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027FD2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735CA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4F41BEC6">
                  <w:pPr>
                    <w:widowControl w:val="0"/>
                    <w:jc w:val="both"/>
                    <w:rPr>
                      <w:rFonts w:ascii="Calibri" w:hAnsi="Calibri"/>
                      <w:kern w:val="2"/>
                      <w:sz w:val="21"/>
                      <w:lang w:val="en-US" w:eastAsia="zh-CN" w:bidi="ar-SA"/>
                    </w:rPr>
                  </w:pPr>
                </w:p>
              </w:tc>
            </w:tr>
            <w:tr w14:paraId="3338E5D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11568B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44</w:t>
                  </w:r>
                </w:p>
              </w:tc>
              <w:tc>
                <w:tcPr>
                  <w:tcW w:w="240" w:type="pct"/>
                  <w:noWrap w:val="0"/>
                  <w:vAlign w:val="center"/>
                </w:tcPr>
                <w:p w14:paraId="43A778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54E891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6F58D4B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425E432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48C3F3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5A0060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6F76E0E">
                  <w:pPr>
                    <w:widowControl w:val="0"/>
                    <w:jc w:val="both"/>
                    <w:rPr>
                      <w:rFonts w:ascii="Calibri" w:hAnsi="Calibri"/>
                      <w:kern w:val="2"/>
                      <w:sz w:val="21"/>
                      <w:lang w:val="en-US" w:eastAsia="zh-CN" w:bidi="ar-SA"/>
                    </w:rPr>
                  </w:pPr>
                </w:p>
              </w:tc>
              <w:tc>
                <w:tcPr>
                  <w:tcW w:w="0" w:type="auto"/>
                  <w:noWrap w:val="0"/>
                  <w:vAlign w:val="center"/>
                </w:tcPr>
                <w:p w14:paraId="60BD03D7">
                  <w:pPr>
                    <w:widowControl w:val="0"/>
                    <w:jc w:val="both"/>
                    <w:rPr>
                      <w:rFonts w:ascii="Calibri" w:hAnsi="Calibri"/>
                      <w:kern w:val="2"/>
                      <w:sz w:val="21"/>
                      <w:lang w:val="en-US" w:eastAsia="zh-CN" w:bidi="ar-SA"/>
                    </w:rPr>
                  </w:pPr>
                </w:p>
              </w:tc>
              <w:tc>
                <w:tcPr>
                  <w:tcW w:w="0" w:type="auto"/>
                  <w:noWrap w:val="0"/>
                  <w:vAlign w:val="center"/>
                </w:tcPr>
                <w:p w14:paraId="3DBE9C9A">
                  <w:pPr>
                    <w:widowControl w:val="0"/>
                    <w:jc w:val="both"/>
                    <w:rPr>
                      <w:rFonts w:ascii="Calibri" w:hAnsi="Calibri"/>
                      <w:kern w:val="2"/>
                      <w:sz w:val="21"/>
                      <w:lang w:val="en-US" w:eastAsia="zh-CN" w:bidi="ar-SA"/>
                    </w:rPr>
                  </w:pPr>
                </w:p>
              </w:tc>
              <w:tc>
                <w:tcPr>
                  <w:tcW w:w="0" w:type="auto"/>
                  <w:noWrap w:val="0"/>
                  <w:vAlign w:val="center"/>
                </w:tcPr>
                <w:p w14:paraId="10B00B30">
                  <w:pPr>
                    <w:widowControl w:val="0"/>
                    <w:jc w:val="both"/>
                    <w:rPr>
                      <w:rFonts w:ascii="Calibri" w:hAnsi="Calibri"/>
                      <w:kern w:val="2"/>
                      <w:sz w:val="21"/>
                      <w:lang w:val="en-US" w:eastAsia="zh-CN" w:bidi="ar-SA"/>
                    </w:rPr>
                  </w:pPr>
                </w:p>
              </w:tc>
              <w:tc>
                <w:tcPr>
                  <w:tcW w:w="0" w:type="auto"/>
                  <w:noWrap w:val="0"/>
                  <w:vAlign w:val="center"/>
                </w:tcPr>
                <w:p w14:paraId="1DFB147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50A92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15CBDC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5E7BED8F">
                  <w:pPr>
                    <w:widowControl w:val="0"/>
                    <w:jc w:val="both"/>
                    <w:rPr>
                      <w:rFonts w:ascii="Calibri" w:hAnsi="Calibri"/>
                      <w:kern w:val="2"/>
                      <w:sz w:val="21"/>
                      <w:lang w:val="en-US" w:eastAsia="zh-CN" w:bidi="ar-SA"/>
                    </w:rPr>
                  </w:pPr>
                </w:p>
              </w:tc>
            </w:tr>
            <w:tr w14:paraId="6BE4129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428DC3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45</w:t>
                  </w:r>
                </w:p>
              </w:tc>
              <w:tc>
                <w:tcPr>
                  <w:tcW w:w="240" w:type="pct"/>
                  <w:noWrap w:val="0"/>
                  <w:vAlign w:val="center"/>
                </w:tcPr>
                <w:p w14:paraId="5491DC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6E3B9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7E95A3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133598B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08A30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51DC531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AA039D8">
                  <w:pPr>
                    <w:widowControl w:val="0"/>
                    <w:jc w:val="both"/>
                    <w:rPr>
                      <w:rFonts w:ascii="Calibri" w:hAnsi="Calibri"/>
                      <w:kern w:val="2"/>
                      <w:sz w:val="21"/>
                      <w:lang w:val="en-US" w:eastAsia="zh-CN" w:bidi="ar-SA"/>
                    </w:rPr>
                  </w:pPr>
                </w:p>
              </w:tc>
              <w:tc>
                <w:tcPr>
                  <w:tcW w:w="0" w:type="auto"/>
                  <w:noWrap w:val="0"/>
                  <w:vAlign w:val="center"/>
                </w:tcPr>
                <w:p w14:paraId="6C1DD48A">
                  <w:pPr>
                    <w:widowControl w:val="0"/>
                    <w:jc w:val="both"/>
                    <w:rPr>
                      <w:rFonts w:ascii="Calibri" w:hAnsi="Calibri"/>
                      <w:kern w:val="2"/>
                      <w:sz w:val="21"/>
                      <w:lang w:val="en-US" w:eastAsia="zh-CN" w:bidi="ar-SA"/>
                    </w:rPr>
                  </w:pPr>
                </w:p>
              </w:tc>
              <w:tc>
                <w:tcPr>
                  <w:tcW w:w="0" w:type="auto"/>
                  <w:noWrap w:val="0"/>
                  <w:vAlign w:val="center"/>
                </w:tcPr>
                <w:p w14:paraId="4620B353">
                  <w:pPr>
                    <w:widowControl w:val="0"/>
                    <w:jc w:val="both"/>
                    <w:rPr>
                      <w:rFonts w:ascii="Calibri" w:hAnsi="Calibri"/>
                      <w:kern w:val="2"/>
                      <w:sz w:val="21"/>
                      <w:lang w:val="en-US" w:eastAsia="zh-CN" w:bidi="ar-SA"/>
                    </w:rPr>
                  </w:pPr>
                </w:p>
              </w:tc>
              <w:tc>
                <w:tcPr>
                  <w:tcW w:w="0" w:type="auto"/>
                  <w:noWrap w:val="0"/>
                  <w:vAlign w:val="center"/>
                </w:tcPr>
                <w:p w14:paraId="65CD42DA">
                  <w:pPr>
                    <w:widowControl w:val="0"/>
                    <w:jc w:val="both"/>
                    <w:rPr>
                      <w:rFonts w:ascii="Calibri" w:hAnsi="Calibri"/>
                      <w:kern w:val="2"/>
                      <w:sz w:val="21"/>
                      <w:lang w:val="en-US" w:eastAsia="zh-CN" w:bidi="ar-SA"/>
                    </w:rPr>
                  </w:pPr>
                </w:p>
              </w:tc>
              <w:tc>
                <w:tcPr>
                  <w:tcW w:w="0" w:type="auto"/>
                  <w:noWrap w:val="0"/>
                  <w:vAlign w:val="center"/>
                </w:tcPr>
                <w:p w14:paraId="614019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07F18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793EF5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56595952">
                  <w:pPr>
                    <w:widowControl w:val="0"/>
                    <w:jc w:val="both"/>
                    <w:rPr>
                      <w:rFonts w:ascii="Calibri" w:hAnsi="Calibri"/>
                      <w:kern w:val="2"/>
                      <w:sz w:val="21"/>
                      <w:lang w:val="en-US" w:eastAsia="zh-CN" w:bidi="ar-SA"/>
                    </w:rPr>
                  </w:pPr>
                </w:p>
              </w:tc>
            </w:tr>
            <w:tr w14:paraId="5273B80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C46CD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46</w:t>
                  </w:r>
                </w:p>
              </w:tc>
              <w:tc>
                <w:tcPr>
                  <w:tcW w:w="240" w:type="pct"/>
                  <w:noWrap w:val="0"/>
                  <w:vAlign w:val="center"/>
                </w:tcPr>
                <w:p w14:paraId="6C4E1FF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03F2DB1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31CDD1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689192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3C0ECB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531F2C2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4297DB6">
                  <w:pPr>
                    <w:widowControl w:val="0"/>
                    <w:jc w:val="both"/>
                    <w:rPr>
                      <w:rFonts w:ascii="Calibri" w:hAnsi="Calibri"/>
                      <w:kern w:val="2"/>
                      <w:sz w:val="21"/>
                      <w:lang w:val="en-US" w:eastAsia="zh-CN" w:bidi="ar-SA"/>
                    </w:rPr>
                  </w:pPr>
                </w:p>
              </w:tc>
              <w:tc>
                <w:tcPr>
                  <w:tcW w:w="0" w:type="auto"/>
                  <w:noWrap w:val="0"/>
                  <w:vAlign w:val="center"/>
                </w:tcPr>
                <w:p w14:paraId="01602172">
                  <w:pPr>
                    <w:widowControl w:val="0"/>
                    <w:jc w:val="both"/>
                    <w:rPr>
                      <w:rFonts w:ascii="Calibri" w:hAnsi="Calibri"/>
                      <w:kern w:val="2"/>
                      <w:sz w:val="21"/>
                      <w:lang w:val="en-US" w:eastAsia="zh-CN" w:bidi="ar-SA"/>
                    </w:rPr>
                  </w:pPr>
                </w:p>
              </w:tc>
              <w:tc>
                <w:tcPr>
                  <w:tcW w:w="0" w:type="auto"/>
                  <w:noWrap w:val="0"/>
                  <w:vAlign w:val="center"/>
                </w:tcPr>
                <w:p w14:paraId="0CD15DA1">
                  <w:pPr>
                    <w:widowControl w:val="0"/>
                    <w:jc w:val="both"/>
                    <w:rPr>
                      <w:rFonts w:ascii="Calibri" w:hAnsi="Calibri"/>
                      <w:kern w:val="2"/>
                      <w:sz w:val="21"/>
                      <w:lang w:val="en-US" w:eastAsia="zh-CN" w:bidi="ar-SA"/>
                    </w:rPr>
                  </w:pPr>
                </w:p>
              </w:tc>
              <w:tc>
                <w:tcPr>
                  <w:tcW w:w="0" w:type="auto"/>
                  <w:noWrap w:val="0"/>
                  <w:vAlign w:val="center"/>
                </w:tcPr>
                <w:p w14:paraId="4F34D95D">
                  <w:pPr>
                    <w:widowControl w:val="0"/>
                    <w:jc w:val="both"/>
                    <w:rPr>
                      <w:rFonts w:ascii="Calibri" w:hAnsi="Calibri"/>
                      <w:kern w:val="2"/>
                      <w:sz w:val="21"/>
                      <w:lang w:val="en-US" w:eastAsia="zh-CN" w:bidi="ar-SA"/>
                    </w:rPr>
                  </w:pPr>
                </w:p>
              </w:tc>
              <w:tc>
                <w:tcPr>
                  <w:tcW w:w="0" w:type="auto"/>
                  <w:noWrap w:val="0"/>
                  <w:vAlign w:val="center"/>
                </w:tcPr>
                <w:p w14:paraId="5662C1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D4FB2B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B9E9B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2F99C47B">
                  <w:pPr>
                    <w:widowControl w:val="0"/>
                    <w:jc w:val="both"/>
                    <w:rPr>
                      <w:rFonts w:ascii="Calibri" w:hAnsi="Calibri"/>
                      <w:kern w:val="2"/>
                      <w:sz w:val="21"/>
                      <w:lang w:val="en-US" w:eastAsia="zh-CN" w:bidi="ar-SA"/>
                    </w:rPr>
                  </w:pPr>
                </w:p>
              </w:tc>
            </w:tr>
            <w:tr w14:paraId="0202B27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08EBC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47</w:t>
                  </w:r>
                </w:p>
              </w:tc>
              <w:tc>
                <w:tcPr>
                  <w:tcW w:w="240" w:type="pct"/>
                  <w:noWrap w:val="0"/>
                  <w:vAlign w:val="center"/>
                </w:tcPr>
                <w:p w14:paraId="6AD4B5D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3EEB08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68BB24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7689248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2BC5F97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7155AB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70BC949">
                  <w:pPr>
                    <w:widowControl w:val="0"/>
                    <w:jc w:val="both"/>
                    <w:rPr>
                      <w:rFonts w:ascii="Calibri" w:hAnsi="Calibri"/>
                      <w:kern w:val="2"/>
                      <w:sz w:val="21"/>
                      <w:lang w:val="en-US" w:eastAsia="zh-CN" w:bidi="ar-SA"/>
                    </w:rPr>
                  </w:pPr>
                </w:p>
              </w:tc>
              <w:tc>
                <w:tcPr>
                  <w:tcW w:w="0" w:type="auto"/>
                  <w:noWrap w:val="0"/>
                  <w:vAlign w:val="center"/>
                </w:tcPr>
                <w:p w14:paraId="78FAAF09">
                  <w:pPr>
                    <w:widowControl w:val="0"/>
                    <w:jc w:val="both"/>
                    <w:rPr>
                      <w:rFonts w:ascii="Calibri" w:hAnsi="Calibri"/>
                      <w:kern w:val="2"/>
                      <w:sz w:val="21"/>
                      <w:lang w:val="en-US" w:eastAsia="zh-CN" w:bidi="ar-SA"/>
                    </w:rPr>
                  </w:pPr>
                </w:p>
              </w:tc>
              <w:tc>
                <w:tcPr>
                  <w:tcW w:w="0" w:type="auto"/>
                  <w:noWrap w:val="0"/>
                  <w:vAlign w:val="center"/>
                </w:tcPr>
                <w:p w14:paraId="6BBD80F1">
                  <w:pPr>
                    <w:widowControl w:val="0"/>
                    <w:jc w:val="both"/>
                    <w:rPr>
                      <w:rFonts w:ascii="Calibri" w:hAnsi="Calibri"/>
                      <w:kern w:val="2"/>
                      <w:sz w:val="21"/>
                      <w:lang w:val="en-US" w:eastAsia="zh-CN" w:bidi="ar-SA"/>
                    </w:rPr>
                  </w:pPr>
                </w:p>
              </w:tc>
              <w:tc>
                <w:tcPr>
                  <w:tcW w:w="0" w:type="auto"/>
                  <w:noWrap w:val="0"/>
                  <w:vAlign w:val="center"/>
                </w:tcPr>
                <w:p w14:paraId="135591F2">
                  <w:pPr>
                    <w:widowControl w:val="0"/>
                    <w:jc w:val="both"/>
                    <w:rPr>
                      <w:rFonts w:ascii="Calibri" w:hAnsi="Calibri"/>
                      <w:kern w:val="2"/>
                      <w:sz w:val="21"/>
                      <w:lang w:val="en-US" w:eastAsia="zh-CN" w:bidi="ar-SA"/>
                    </w:rPr>
                  </w:pPr>
                </w:p>
              </w:tc>
              <w:tc>
                <w:tcPr>
                  <w:tcW w:w="0" w:type="auto"/>
                  <w:noWrap w:val="0"/>
                  <w:vAlign w:val="center"/>
                </w:tcPr>
                <w:p w14:paraId="033BD2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0E322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F15663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29CE5402">
                  <w:pPr>
                    <w:widowControl w:val="0"/>
                    <w:jc w:val="both"/>
                    <w:rPr>
                      <w:rFonts w:ascii="Calibri" w:hAnsi="Calibri"/>
                      <w:kern w:val="2"/>
                      <w:sz w:val="21"/>
                      <w:lang w:val="en-US" w:eastAsia="zh-CN" w:bidi="ar-SA"/>
                    </w:rPr>
                  </w:pPr>
                </w:p>
              </w:tc>
            </w:tr>
            <w:tr w14:paraId="1E59ADD3">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C3653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48</w:t>
                  </w:r>
                </w:p>
              </w:tc>
              <w:tc>
                <w:tcPr>
                  <w:tcW w:w="240" w:type="pct"/>
                  <w:noWrap w:val="0"/>
                  <w:vAlign w:val="center"/>
                </w:tcPr>
                <w:p w14:paraId="48CEC1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74D95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2B6765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411641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29CFC3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4FFCB2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1B08D72">
                  <w:pPr>
                    <w:widowControl w:val="0"/>
                    <w:jc w:val="both"/>
                    <w:rPr>
                      <w:rFonts w:ascii="Calibri" w:hAnsi="Calibri"/>
                      <w:kern w:val="2"/>
                      <w:sz w:val="21"/>
                      <w:lang w:val="en-US" w:eastAsia="zh-CN" w:bidi="ar-SA"/>
                    </w:rPr>
                  </w:pPr>
                </w:p>
              </w:tc>
              <w:tc>
                <w:tcPr>
                  <w:tcW w:w="0" w:type="auto"/>
                  <w:noWrap w:val="0"/>
                  <w:vAlign w:val="center"/>
                </w:tcPr>
                <w:p w14:paraId="5F48FE11">
                  <w:pPr>
                    <w:widowControl w:val="0"/>
                    <w:jc w:val="both"/>
                    <w:rPr>
                      <w:rFonts w:ascii="Calibri" w:hAnsi="Calibri"/>
                      <w:kern w:val="2"/>
                      <w:sz w:val="21"/>
                      <w:lang w:val="en-US" w:eastAsia="zh-CN" w:bidi="ar-SA"/>
                    </w:rPr>
                  </w:pPr>
                </w:p>
              </w:tc>
              <w:tc>
                <w:tcPr>
                  <w:tcW w:w="0" w:type="auto"/>
                  <w:noWrap w:val="0"/>
                  <w:vAlign w:val="center"/>
                </w:tcPr>
                <w:p w14:paraId="0992BC2B">
                  <w:pPr>
                    <w:widowControl w:val="0"/>
                    <w:jc w:val="both"/>
                    <w:rPr>
                      <w:rFonts w:ascii="Calibri" w:hAnsi="Calibri"/>
                      <w:kern w:val="2"/>
                      <w:sz w:val="21"/>
                      <w:lang w:val="en-US" w:eastAsia="zh-CN" w:bidi="ar-SA"/>
                    </w:rPr>
                  </w:pPr>
                </w:p>
              </w:tc>
              <w:tc>
                <w:tcPr>
                  <w:tcW w:w="0" w:type="auto"/>
                  <w:noWrap w:val="0"/>
                  <w:vAlign w:val="center"/>
                </w:tcPr>
                <w:p w14:paraId="106244DC">
                  <w:pPr>
                    <w:widowControl w:val="0"/>
                    <w:jc w:val="both"/>
                    <w:rPr>
                      <w:rFonts w:ascii="Calibri" w:hAnsi="Calibri"/>
                      <w:kern w:val="2"/>
                      <w:sz w:val="21"/>
                      <w:lang w:val="en-US" w:eastAsia="zh-CN" w:bidi="ar-SA"/>
                    </w:rPr>
                  </w:pPr>
                </w:p>
              </w:tc>
              <w:tc>
                <w:tcPr>
                  <w:tcW w:w="0" w:type="auto"/>
                  <w:noWrap w:val="0"/>
                  <w:vAlign w:val="center"/>
                </w:tcPr>
                <w:p w14:paraId="0F78E23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1FB9C7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776A9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6F4AB60C">
                  <w:pPr>
                    <w:widowControl w:val="0"/>
                    <w:jc w:val="both"/>
                    <w:rPr>
                      <w:rFonts w:ascii="Calibri" w:hAnsi="Calibri"/>
                      <w:kern w:val="2"/>
                      <w:sz w:val="21"/>
                      <w:lang w:val="en-US" w:eastAsia="zh-CN" w:bidi="ar-SA"/>
                    </w:rPr>
                  </w:pPr>
                </w:p>
              </w:tc>
            </w:tr>
            <w:tr w14:paraId="4DA64A7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63FC5D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49</w:t>
                  </w:r>
                </w:p>
              </w:tc>
              <w:tc>
                <w:tcPr>
                  <w:tcW w:w="240" w:type="pct"/>
                  <w:noWrap w:val="0"/>
                  <w:vAlign w:val="center"/>
                </w:tcPr>
                <w:p w14:paraId="5CD21E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07F860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6FD55D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4E52DAE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100DA2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7CD568F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C9498C8">
                  <w:pPr>
                    <w:widowControl w:val="0"/>
                    <w:jc w:val="both"/>
                    <w:rPr>
                      <w:rFonts w:ascii="Calibri" w:hAnsi="Calibri"/>
                      <w:kern w:val="2"/>
                      <w:sz w:val="21"/>
                      <w:lang w:val="en-US" w:eastAsia="zh-CN" w:bidi="ar-SA"/>
                    </w:rPr>
                  </w:pPr>
                </w:p>
              </w:tc>
              <w:tc>
                <w:tcPr>
                  <w:tcW w:w="0" w:type="auto"/>
                  <w:noWrap w:val="0"/>
                  <w:vAlign w:val="center"/>
                </w:tcPr>
                <w:p w14:paraId="1CA45752">
                  <w:pPr>
                    <w:widowControl w:val="0"/>
                    <w:jc w:val="both"/>
                    <w:rPr>
                      <w:rFonts w:ascii="Calibri" w:hAnsi="Calibri"/>
                      <w:kern w:val="2"/>
                      <w:sz w:val="21"/>
                      <w:lang w:val="en-US" w:eastAsia="zh-CN" w:bidi="ar-SA"/>
                    </w:rPr>
                  </w:pPr>
                </w:p>
              </w:tc>
              <w:tc>
                <w:tcPr>
                  <w:tcW w:w="0" w:type="auto"/>
                  <w:noWrap w:val="0"/>
                  <w:vAlign w:val="center"/>
                </w:tcPr>
                <w:p w14:paraId="3D79A0F5">
                  <w:pPr>
                    <w:widowControl w:val="0"/>
                    <w:jc w:val="both"/>
                    <w:rPr>
                      <w:rFonts w:ascii="Calibri" w:hAnsi="Calibri"/>
                      <w:kern w:val="2"/>
                      <w:sz w:val="21"/>
                      <w:lang w:val="en-US" w:eastAsia="zh-CN" w:bidi="ar-SA"/>
                    </w:rPr>
                  </w:pPr>
                </w:p>
              </w:tc>
              <w:tc>
                <w:tcPr>
                  <w:tcW w:w="0" w:type="auto"/>
                  <w:noWrap w:val="0"/>
                  <w:vAlign w:val="center"/>
                </w:tcPr>
                <w:p w14:paraId="3A79F780">
                  <w:pPr>
                    <w:widowControl w:val="0"/>
                    <w:jc w:val="both"/>
                    <w:rPr>
                      <w:rFonts w:ascii="Calibri" w:hAnsi="Calibri"/>
                      <w:kern w:val="2"/>
                      <w:sz w:val="21"/>
                      <w:lang w:val="en-US" w:eastAsia="zh-CN" w:bidi="ar-SA"/>
                    </w:rPr>
                  </w:pPr>
                </w:p>
              </w:tc>
              <w:tc>
                <w:tcPr>
                  <w:tcW w:w="0" w:type="auto"/>
                  <w:noWrap w:val="0"/>
                  <w:vAlign w:val="center"/>
                </w:tcPr>
                <w:p w14:paraId="21DBFCC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10E21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80E3E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018D3602">
                  <w:pPr>
                    <w:widowControl w:val="0"/>
                    <w:jc w:val="both"/>
                    <w:rPr>
                      <w:rFonts w:ascii="Calibri" w:hAnsi="Calibri"/>
                      <w:kern w:val="2"/>
                      <w:sz w:val="21"/>
                      <w:lang w:val="en-US" w:eastAsia="zh-CN" w:bidi="ar-SA"/>
                    </w:rPr>
                  </w:pPr>
                </w:p>
              </w:tc>
            </w:tr>
            <w:tr w14:paraId="47DA4E5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F2640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50</w:t>
                  </w:r>
                </w:p>
              </w:tc>
              <w:tc>
                <w:tcPr>
                  <w:tcW w:w="240" w:type="pct"/>
                  <w:noWrap w:val="0"/>
                  <w:vAlign w:val="center"/>
                </w:tcPr>
                <w:p w14:paraId="57FAB00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0D0022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734F72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4E143F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64CC10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5578508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AE71396">
                  <w:pPr>
                    <w:widowControl w:val="0"/>
                    <w:jc w:val="both"/>
                    <w:rPr>
                      <w:rFonts w:ascii="Calibri" w:hAnsi="Calibri"/>
                      <w:kern w:val="2"/>
                      <w:sz w:val="21"/>
                      <w:lang w:val="en-US" w:eastAsia="zh-CN" w:bidi="ar-SA"/>
                    </w:rPr>
                  </w:pPr>
                </w:p>
              </w:tc>
              <w:tc>
                <w:tcPr>
                  <w:tcW w:w="0" w:type="auto"/>
                  <w:noWrap w:val="0"/>
                  <w:vAlign w:val="center"/>
                </w:tcPr>
                <w:p w14:paraId="42E75747">
                  <w:pPr>
                    <w:widowControl w:val="0"/>
                    <w:jc w:val="both"/>
                    <w:rPr>
                      <w:rFonts w:ascii="Calibri" w:hAnsi="Calibri"/>
                      <w:kern w:val="2"/>
                      <w:sz w:val="21"/>
                      <w:lang w:val="en-US" w:eastAsia="zh-CN" w:bidi="ar-SA"/>
                    </w:rPr>
                  </w:pPr>
                </w:p>
              </w:tc>
              <w:tc>
                <w:tcPr>
                  <w:tcW w:w="0" w:type="auto"/>
                  <w:noWrap w:val="0"/>
                  <w:vAlign w:val="center"/>
                </w:tcPr>
                <w:p w14:paraId="0AA8773D">
                  <w:pPr>
                    <w:widowControl w:val="0"/>
                    <w:jc w:val="both"/>
                    <w:rPr>
                      <w:rFonts w:ascii="Calibri" w:hAnsi="Calibri"/>
                      <w:kern w:val="2"/>
                      <w:sz w:val="21"/>
                      <w:lang w:val="en-US" w:eastAsia="zh-CN" w:bidi="ar-SA"/>
                    </w:rPr>
                  </w:pPr>
                </w:p>
              </w:tc>
              <w:tc>
                <w:tcPr>
                  <w:tcW w:w="0" w:type="auto"/>
                  <w:noWrap w:val="0"/>
                  <w:vAlign w:val="center"/>
                </w:tcPr>
                <w:p w14:paraId="3D1E0F38">
                  <w:pPr>
                    <w:widowControl w:val="0"/>
                    <w:jc w:val="both"/>
                    <w:rPr>
                      <w:rFonts w:ascii="Calibri" w:hAnsi="Calibri"/>
                      <w:kern w:val="2"/>
                      <w:sz w:val="21"/>
                      <w:lang w:val="en-US" w:eastAsia="zh-CN" w:bidi="ar-SA"/>
                    </w:rPr>
                  </w:pPr>
                </w:p>
              </w:tc>
              <w:tc>
                <w:tcPr>
                  <w:tcW w:w="0" w:type="auto"/>
                  <w:noWrap w:val="0"/>
                  <w:vAlign w:val="center"/>
                </w:tcPr>
                <w:p w14:paraId="4F8916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AD760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B7244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7AA5C715">
                  <w:pPr>
                    <w:widowControl w:val="0"/>
                    <w:jc w:val="both"/>
                    <w:rPr>
                      <w:rFonts w:ascii="Calibri" w:hAnsi="Calibri"/>
                      <w:kern w:val="2"/>
                      <w:sz w:val="21"/>
                      <w:lang w:val="en-US" w:eastAsia="zh-CN" w:bidi="ar-SA"/>
                    </w:rPr>
                  </w:pPr>
                </w:p>
              </w:tc>
            </w:tr>
            <w:tr w14:paraId="3C7474A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179FC2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51</w:t>
                  </w:r>
                </w:p>
              </w:tc>
              <w:tc>
                <w:tcPr>
                  <w:tcW w:w="240" w:type="pct"/>
                  <w:noWrap w:val="0"/>
                  <w:vAlign w:val="center"/>
                </w:tcPr>
                <w:p w14:paraId="2F4C49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6745F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3DD41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1DF10FB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386FA5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210D84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48D9896">
                  <w:pPr>
                    <w:widowControl w:val="0"/>
                    <w:jc w:val="both"/>
                    <w:rPr>
                      <w:rFonts w:ascii="Calibri" w:hAnsi="Calibri"/>
                      <w:kern w:val="2"/>
                      <w:sz w:val="21"/>
                      <w:lang w:val="en-US" w:eastAsia="zh-CN" w:bidi="ar-SA"/>
                    </w:rPr>
                  </w:pPr>
                </w:p>
              </w:tc>
              <w:tc>
                <w:tcPr>
                  <w:tcW w:w="0" w:type="auto"/>
                  <w:noWrap w:val="0"/>
                  <w:vAlign w:val="center"/>
                </w:tcPr>
                <w:p w14:paraId="4DCE3B12">
                  <w:pPr>
                    <w:widowControl w:val="0"/>
                    <w:jc w:val="both"/>
                    <w:rPr>
                      <w:rFonts w:ascii="Calibri" w:hAnsi="Calibri"/>
                      <w:kern w:val="2"/>
                      <w:sz w:val="21"/>
                      <w:lang w:val="en-US" w:eastAsia="zh-CN" w:bidi="ar-SA"/>
                    </w:rPr>
                  </w:pPr>
                </w:p>
              </w:tc>
              <w:tc>
                <w:tcPr>
                  <w:tcW w:w="0" w:type="auto"/>
                  <w:noWrap w:val="0"/>
                  <w:vAlign w:val="center"/>
                </w:tcPr>
                <w:p w14:paraId="0CEC7A80">
                  <w:pPr>
                    <w:widowControl w:val="0"/>
                    <w:jc w:val="both"/>
                    <w:rPr>
                      <w:rFonts w:ascii="Calibri" w:hAnsi="Calibri"/>
                      <w:kern w:val="2"/>
                      <w:sz w:val="21"/>
                      <w:lang w:val="en-US" w:eastAsia="zh-CN" w:bidi="ar-SA"/>
                    </w:rPr>
                  </w:pPr>
                </w:p>
              </w:tc>
              <w:tc>
                <w:tcPr>
                  <w:tcW w:w="0" w:type="auto"/>
                  <w:noWrap w:val="0"/>
                  <w:vAlign w:val="center"/>
                </w:tcPr>
                <w:p w14:paraId="45BC1EE1">
                  <w:pPr>
                    <w:widowControl w:val="0"/>
                    <w:jc w:val="both"/>
                    <w:rPr>
                      <w:rFonts w:ascii="Calibri" w:hAnsi="Calibri"/>
                      <w:kern w:val="2"/>
                      <w:sz w:val="21"/>
                      <w:lang w:val="en-US" w:eastAsia="zh-CN" w:bidi="ar-SA"/>
                    </w:rPr>
                  </w:pPr>
                </w:p>
              </w:tc>
              <w:tc>
                <w:tcPr>
                  <w:tcW w:w="0" w:type="auto"/>
                  <w:noWrap w:val="0"/>
                  <w:vAlign w:val="center"/>
                </w:tcPr>
                <w:p w14:paraId="2E810EE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DDE1E1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24C2C1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338219A0">
                  <w:pPr>
                    <w:widowControl w:val="0"/>
                    <w:jc w:val="both"/>
                    <w:rPr>
                      <w:rFonts w:ascii="Calibri" w:hAnsi="Calibri"/>
                      <w:kern w:val="2"/>
                      <w:sz w:val="21"/>
                      <w:lang w:val="en-US" w:eastAsia="zh-CN" w:bidi="ar-SA"/>
                    </w:rPr>
                  </w:pPr>
                </w:p>
              </w:tc>
            </w:tr>
            <w:tr w14:paraId="0A66E27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68FC8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52</w:t>
                  </w:r>
                </w:p>
              </w:tc>
              <w:tc>
                <w:tcPr>
                  <w:tcW w:w="240" w:type="pct"/>
                  <w:noWrap w:val="0"/>
                  <w:vAlign w:val="center"/>
                </w:tcPr>
                <w:p w14:paraId="31BB82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3922B2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DD31F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5B4D3B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6873B1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3260DD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0342095">
                  <w:pPr>
                    <w:widowControl w:val="0"/>
                    <w:jc w:val="both"/>
                    <w:rPr>
                      <w:rFonts w:ascii="Calibri" w:hAnsi="Calibri"/>
                      <w:kern w:val="2"/>
                      <w:sz w:val="21"/>
                      <w:lang w:val="en-US" w:eastAsia="zh-CN" w:bidi="ar-SA"/>
                    </w:rPr>
                  </w:pPr>
                </w:p>
              </w:tc>
              <w:tc>
                <w:tcPr>
                  <w:tcW w:w="0" w:type="auto"/>
                  <w:noWrap w:val="0"/>
                  <w:vAlign w:val="center"/>
                </w:tcPr>
                <w:p w14:paraId="5444B4D6">
                  <w:pPr>
                    <w:widowControl w:val="0"/>
                    <w:jc w:val="both"/>
                    <w:rPr>
                      <w:rFonts w:ascii="Calibri" w:hAnsi="Calibri"/>
                      <w:kern w:val="2"/>
                      <w:sz w:val="21"/>
                      <w:lang w:val="en-US" w:eastAsia="zh-CN" w:bidi="ar-SA"/>
                    </w:rPr>
                  </w:pPr>
                </w:p>
              </w:tc>
              <w:tc>
                <w:tcPr>
                  <w:tcW w:w="0" w:type="auto"/>
                  <w:noWrap w:val="0"/>
                  <w:vAlign w:val="center"/>
                </w:tcPr>
                <w:p w14:paraId="34A48CB9">
                  <w:pPr>
                    <w:widowControl w:val="0"/>
                    <w:jc w:val="both"/>
                    <w:rPr>
                      <w:rFonts w:ascii="Calibri" w:hAnsi="Calibri"/>
                      <w:kern w:val="2"/>
                      <w:sz w:val="21"/>
                      <w:lang w:val="en-US" w:eastAsia="zh-CN" w:bidi="ar-SA"/>
                    </w:rPr>
                  </w:pPr>
                </w:p>
              </w:tc>
              <w:tc>
                <w:tcPr>
                  <w:tcW w:w="0" w:type="auto"/>
                  <w:noWrap w:val="0"/>
                  <w:vAlign w:val="center"/>
                </w:tcPr>
                <w:p w14:paraId="0F4D339B">
                  <w:pPr>
                    <w:widowControl w:val="0"/>
                    <w:jc w:val="both"/>
                    <w:rPr>
                      <w:rFonts w:ascii="Calibri" w:hAnsi="Calibri"/>
                      <w:kern w:val="2"/>
                      <w:sz w:val="21"/>
                      <w:lang w:val="en-US" w:eastAsia="zh-CN" w:bidi="ar-SA"/>
                    </w:rPr>
                  </w:pPr>
                </w:p>
              </w:tc>
              <w:tc>
                <w:tcPr>
                  <w:tcW w:w="0" w:type="auto"/>
                  <w:noWrap w:val="0"/>
                  <w:vAlign w:val="center"/>
                </w:tcPr>
                <w:p w14:paraId="786E26E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AD332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514DB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《土壤质量总汞、总砷、总铅的测定原子荧光法》（GB/T 22105.2-2008）</w:t>
                  </w:r>
                </w:p>
              </w:tc>
              <w:tc>
                <w:tcPr>
                  <w:tcW w:w="83" w:type="pct"/>
                  <w:noWrap w:val="0"/>
                  <w:vAlign w:val="center"/>
                </w:tcPr>
                <w:p w14:paraId="28E6CB75">
                  <w:pPr>
                    <w:widowControl w:val="0"/>
                    <w:jc w:val="both"/>
                    <w:rPr>
                      <w:rFonts w:ascii="Calibri" w:hAnsi="Calibri"/>
                      <w:kern w:val="2"/>
                      <w:sz w:val="21"/>
                      <w:lang w:val="en-US" w:eastAsia="zh-CN" w:bidi="ar-SA"/>
                    </w:rPr>
                  </w:pPr>
                </w:p>
              </w:tc>
            </w:tr>
            <w:tr w14:paraId="5AD2410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804D5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53</w:t>
                  </w:r>
                </w:p>
              </w:tc>
              <w:tc>
                <w:tcPr>
                  <w:tcW w:w="240" w:type="pct"/>
                  <w:noWrap w:val="0"/>
                  <w:vAlign w:val="center"/>
                </w:tcPr>
                <w:p w14:paraId="748ABD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7F0B33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3389D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4D9431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78B409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5FBE53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9C62B6E">
                  <w:pPr>
                    <w:widowControl w:val="0"/>
                    <w:jc w:val="both"/>
                    <w:rPr>
                      <w:rFonts w:ascii="Calibri" w:hAnsi="Calibri"/>
                      <w:kern w:val="2"/>
                      <w:sz w:val="21"/>
                      <w:lang w:val="en-US" w:eastAsia="zh-CN" w:bidi="ar-SA"/>
                    </w:rPr>
                  </w:pPr>
                </w:p>
              </w:tc>
              <w:tc>
                <w:tcPr>
                  <w:tcW w:w="0" w:type="auto"/>
                  <w:noWrap w:val="0"/>
                  <w:vAlign w:val="center"/>
                </w:tcPr>
                <w:p w14:paraId="676C59B9">
                  <w:pPr>
                    <w:widowControl w:val="0"/>
                    <w:jc w:val="both"/>
                    <w:rPr>
                      <w:rFonts w:ascii="Calibri" w:hAnsi="Calibri"/>
                      <w:kern w:val="2"/>
                      <w:sz w:val="21"/>
                      <w:lang w:val="en-US" w:eastAsia="zh-CN" w:bidi="ar-SA"/>
                    </w:rPr>
                  </w:pPr>
                </w:p>
              </w:tc>
              <w:tc>
                <w:tcPr>
                  <w:tcW w:w="0" w:type="auto"/>
                  <w:noWrap w:val="0"/>
                  <w:vAlign w:val="center"/>
                </w:tcPr>
                <w:p w14:paraId="40F5643F">
                  <w:pPr>
                    <w:widowControl w:val="0"/>
                    <w:jc w:val="both"/>
                    <w:rPr>
                      <w:rFonts w:ascii="Calibri" w:hAnsi="Calibri"/>
                      <w:kern w:val="2"/>
                      <w:sz w:val="21"/>
                      <w:lang w:val="en-US" w:eastAsia="zh-CN" w:bidi="ar-SA"/>
                    </w:rPr>
                  </w:pPr>
                </w:p>
              </w:tc>
              <w:tc>
                <w:tcPr>
                  <w:tcW w:w="0" w:type="auto"/>
                  <w:noWrap w:val="0"/>
                  <w:vAlign w:val="center"/>
                </w:tcPr>
                <w:p w14:paraId="7F7FFED6">
                  <w:pPr>
                    <w:widowControl w:val="0"/>
                    <w:jc w:val="both"/>
                    <w:rPr>
                      <w:rFonts w:ascii="Calibri" w:hAnsi="Calibri"/>
                      <w:kern w:val="2"/>
                      <w:sz w:val="21"/>
                      <w:lang w:val="en-US" w:eastAsia="zh-CN" w:bidi="ar-SA"/>
                    </w:rPr>
                  </w:pPr>
                </w:p>
              </w:tc>
              <w:tc>
                <w:tcPr>
                  <w:tcW w:w="0" w:type="auto"/>
                  <w:noWrap w:val="0"/>
                  <w:vAlign w:val="center"/>
                </w:tcPr>
                <w:p w14:paraId="613FF16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509F96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7973BB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3D81BB4C">
                  <w:pPr>
                    <w:widowControl w:val="0"/>
                    <w:jc w:val="both"/>
                    <w:rPr>
                      <w:rFonts w:ascii="Calibri" w:hAnsi="Calibri"/>
                      <w:kern w:val="2"/>
                      <w:sz w:val="21"/>
                      <w:lang w:val="en-US" w:eastAsia="zh-CN" w:bidi="ar-SA"/>
                    </w:rPr>
                  </w:pPr>
                </w:p>
              </w:tc>
            </w:tr>
            <w:tr w14:paraId="4FB0D51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95B488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54</w:t>
                  </w:r>
                </w:p>
              </w:tc>
              <w:tc>
                <w:tcPr>
                  <w:tcW w:w="240" w:type="pct"/>
                  <w:noWrap w:val="0"/>
                  <w:vAlign w:val="center"/>
                </w:tcPr>
                <w:p w14:paraId="780278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B09D9C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83465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15AC41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115D8D1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1F4880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0FC2471">
                  <w:pPr>
                    <w:widowControl w:val="0"/>
                    <w:jc w:val="both"/>
                    <w:rPr>
                      <w:rFonts w:ascii="Calibri" w:hAnsi="Calibri"/>
                      <w:kern w:val="2"/>
                      <w:sz w:val="21"/>
                      <w:lang w:val="en-US" w:eastAsia="zh-CN" w:bidi="ar-SA"/>
                    </w:rPr>
                  </w:pPr>
                </w:p>
              </w:tc>
              <w:tc>
                <w:tcPr>
                  <w:tcW w:w="0" w:type="auto"/>
                  <w:noWrap w:val="0"/>
                  <w:vAlign w:val="center"/>
                </w:tcPr>
                <w:p w14:paraId="15B4D66A">
                  <w:pPr>
                    <w:widowControl w:val="0"/>
                    <w:jc w:val="both"/>
                    <w:rPr>
                      <w:rFonts w:ascii="Calibri" w:hAnsi="Calibri"/>
                      <w:kern w:val="2"/>
                      <w:sz w:val="21"/>
                      <w:lang w:val="en-US" w:eastAsia="zh-CN" w:bidi="ar-SA"/>
                    </w:rPr>
                  </w:pPr>
                </w:p>
              </w:tc>
              <w:tc>
                <w:tcPr>
                  <w:tcW w:w="0" w:type="auto"/>
                  <w:noWrap w:val="0"/>
                  <w:vAlign w:val="center"/>
                </w:tcPr>
                <w:p w14:paraId="41D96741">
                  <w:pPr>
                    <w:widowControl w:val="0"/>
                    <w:jc w:val="both"/>
                    <w:rPr>
                      <w:rFonts w:ascii="Calibri" w:hAnsi="Calibri"/>
                      <w:kern w:val="2"/>
                      <w:sz w:val="21"/>
                      <w:lang w:val="en-US" w:eastAsia="zh-CN" w:bidi="ar-SA"/>
                    </w:rPr>
                  </w:pPr>
                </w:p>
              </w:tc>
              <w:tc>
                <w:tcPr>
                  <w:tcW w:w="0" w:type="auto"/>
                  <w:noWrap w:val="0"/>
                  <w:vAlign w:val="center"/>
                </w:tcPr>
                <w:p w14:paraId="0C99133B">
                  <w:pPr>
                    <w:widowControl w:val="0"/>
                    <w:jc w:val="both"/>
                    <w:rPr>
                      <w:rFonts w:ascii="Calibri" w:hAnsi="Calibri"/>
                      <w:kern w:val="2"/>
                      <w:sz w:val="21"/>
                      <w:lang w:val="en-US" w:eastAsia="zh-CN" w:bidi="ar-SA"/>
                    </w:rPr>
                  </w:pPr>
                </w:p>
              </w:tc>
              <w:tc>
                <w:tcPr>
                  <w:tcW w:w="0" w:type="auto"/>
                  <w:noWrap w:val="0"/>
                  <w:vAlign w:val="center"/>
                </w:tcPr>
                <w:p w14:paraId="279AE64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928AE7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704E4C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0A18340D">
                  <w:pPr>
                    <w:widowControl w:val="0"/>
                    <w:jc w:val="both"/>
                    <w:rPr>
                      <w:rFonts w:ascii="Calibri" w:hAnsi="Calibri"/>
                      <w:kern w:val="2"/>
                      <w:sz w:val="21"/>
                      <w:lang w:val="en-US" w:eastAsia="zh-CN" w:bidi="ar-SA"/>
                    </w:rPr>
                  </w:pPr>
                </w:p>
              </w:tc>
            </w:tr>
            <w:tr w14:paraId="7B5810F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87FE6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55</w:t>
                  </w:r>
                </w:p>
              </w:tc>
              <w:tc>
                <w:tcPr>
                  <w:tcW w:w="240" w:type="pct"/>
                  <w:noWrap w:val="0"/>
                  <w:vAlign w:val="center"/>
                </w:tcPr>
                <w:p w14:paraId="65784E0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317A81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61DA8B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602E8C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1562D79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346A2B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CA9C773">
                  <w:pPr>
                    <w:widowControl w:val="0"/>
                    <w:jc w:val="both"/>
                    <w:rPr>
                      <w:rFonts w:ascii="Calibri" w:hAnsi="Calibri"/>
                      <w:kern w:val="2"/>
                      <w:sz w:val="21"/>
                      <w:lang w:val="en-US" w:eastAsia="zh-CN" w:bidi="ar-SA"/>
                    </w:rPr>
                  </w:pPr>
                </w:p>
              </w:tc>
              <w:tc>
                <w:tcPr>
                  <w:tcW w:w="0" w:type="auto"/>
                  <w:noWrap w:val="0"/>
                  <w:vAlign w:val="center"/>
                </w:tcPr>
                <w:p w14:paraId="23AA158D">
                  <w:pPr>
                    <w:widowControl w:val="0"/>
                    <w:jc w:val="both"/>
                    <w:rPr>
                      <w:rFonts w:ascii="Calibri" w:hAnsi="Calibri"/>
                      <w:kern w:val="2"/>
                      <w:sz w:val="21"/>
                      <w:lang w:val="en-US" w:eastAsia="zh-CN" w:bidi="ar-SA"/>
                    </w:rPr>
                  </w:pPr>
                </w:p>
              </w:tc>
              <w:tc>
                <w:tcPr>
                  <w:tcW w:w="0" w:type="auto"/>
                  <w:noWrap w:val="0"/>
                  <w:vAlign w:val="center"/>
                </w:tcPr>
                <w:p w14:paraId="4952974B">
                  <w:pPr>
                    <w:widowControl w:val="0"/>
                    <w:jc w:val="both"/>
                    <w:rPr>
                      <w:rFonts w:ascii="Calibri" w:hAnsi="Calibri"/>
                      <w:kern w:val="2"/>
                      <w:sz w:val="21"/>
                      <w:lang w:val="en-US" w:eastAsia="zh-CN" w:bidi="ar-SA"/>
                    </w:rPr>
                  </w:pPr>
                </w:p>
              </w:tc>
              <w:tc>
                <w:tcPr>
                  <w:tcW w:w="0" w:type="auto"/>
                  <w:noWrap w:val="0"/>
                  <w:vAlign w:val="center"/>
                </w:tcPr>
                <w:p w14:paraId="7B1AA933">
                  <w:pPr>
                    <w:widowControl w:val="0"/>
                    <w:jc w:val="both"/>
                    <w:rPr>
                      <w:rFonts w:ascii="Calibri" w:hAnsi="Calibri"/>
                      <w:kern w:val="2"/>
                      <w:sz w:val="21"/>
                      <w:lang w:val="en-US" w:eastAsia="zh-CN" w:bidi="ar-SA"/>
                    </w:rPr>
                  </w:pPr>
                </w:p>
              </w:tc>
              <w:tc>
                <w:tcPr>
                  <w:tcW w:w="0" w:type="auto"/>
                  <w:noWrap w:val="0"/>
                  <w:vAlign w:val="center"/>
                </w:tcPr>
                <w:p w14:paraId="4A81C9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28B6D5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6BED9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6BE95610">
                  <w:pPr>
                    <w:widowControl w:val="0"/>
                    <w:jc w:val="both"/>
                    <w:rPr>
                      <w:rFonts w:ascii="Calibri" w:hAnsi="Calibri"/>
                      <w:kern w:val="2"/>
                      <w:sz w:val="21"/>
                      <w:lang w:val="en-US" w:eastAsia="zh-CN" w:bidi="ar-SA"/>
                    </w:rPr>
                  </w:pPr>
                </w:p>
              </w:tc>
            </w:tr>
            <w:tr w14:paraId="3A40D76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2D8BA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56</w:t>
                  </w:r>
                </w:p>
              </w:tc>
              <w:tc>
                <w:tcPr>
                  <w:tcW w:w="240" w:type="pct"/>
                  <w:noWrap w:val="0"/>
                  <w:vAlign w:val="center"/>
                </w:tcPr>
                <w:p w14:paraId="1E58403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3350C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EFCA68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61AF333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6B0D69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11129BE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383192A">
                  <w:pPr>
                    <w:widowControl w:val="0"/>
                    <w:jc w:val="both"/>
                    <w:rPr>
                      <w:rFonts w:ascii="Calibri" w:hAnsi="Calibri"/>
                      <w:kern w:val="2"/>
                      <w:sz w:val="21"/>
                      <w:lang w:val="en-US" w:eastAsia="zh-CN" w:bidi="ar-SA"/>
                    </w:rPr>
                  </w:pPr>
                </w:p>
              </w:tc>
              <w:tc>
                <w:tcPr>
                  <w:tcW w:w="0" w:type="auto"/>
                  <w:noWrap w:val="0"/>
                  <w:vAlign w:val="center"/>
                </w:tcPr>
                <w:p w14:paraId="39712C6D">
                  <w:pPr>
                    <w:widowControl w:val="0"/>
                    <w:jc w:val="both"/>
                    <w:rPr>
                      <w:rFonts w:ascii="Calibri" w:hAnsi="Calibri"/>
                      <w:kern w:val="2"/>
                      <w:sz w:val="21"/>
                      <w:lang w:val="en-US" w:eastAsia="zh-CN" w:bidi="ar-SA"/>
                    </w:rPr>
                  </w:pPr>
                </w:p>
              </w:tc>
              <w:tc>
                <w:tcPr>
                  <w:tcW w:w="0" w:type="auto"/>
                  <w:noWrap w:val="0"/>
                  <w:vAlign w:val="center"/>
                </w:tcPr>
                <w:p w14:paraId="0EC9668D">
                  <w:pPr>
                    <w:widowControl w:val="0"/>
                    <w:jc w:val="both"/>
                    <w:rPr>
                      <w:rFonts w:ascii="Calibri" w:hAnsi="Calibri"/>
                      <w:kern w:val="2"/>
                      <w:sz w:val="21"/>
                      <w:lang w:val="en-US" w:eastAsia="zh-CN" w:bidi="ar-SA"/>
                    </w:rPr>
                  </w:pPr>
                </w:p>
              </w:tc>
              <w:tc>
                <w:tcPr>
                  <w:tcW w:w="0" w:type="auto"/>
                  <w:noWrap w:val="0"/>
                  <w:vAlign w:val="center"/>
                </w:tcPr>
                <w:p w14:paraId="5A98CAF3">
                  <w:pPr>
                    <w:widowControl w:val="0"/>
                    <w:jc w:val="both"/>
                    <w:rPr>
                      <w:rFonts w:ascii="Calibri" w:hAnsi="Calibri"/>
                      <w:kern w:val="2"/>
                      <w:sz w:val="21"/>
                      <w:lang w:val="en-US" w:eastAsia="zh-CN" w:bidi="ar-SA"/>
                    </w:rPr>
                  </w:pPr>
                </w:p>
              </w:tc>
              <w:tc>
                <w:tcPr>
                  <w:tcW w:w="0" w:type="auto"/>
                  <w:noWrap w:val="0"/>
                  <w:vAlign w:val="center"/>
                </w:tcPr>
                <w:p w14:paraId="4EC876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F2D5D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DB0A64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47EF9D26">
                  <w:pPr>
                    <w:widowControl w:val="0"/>
                    <w:jc w:val="both"/>
                    <w:rPr>
                      <w:rFonts w:ascii="Calibri" w:hAnsi="Calibri"/>
                      <w:kern w:val="2"/>
                      <w:sz w:val="21"/>
                      <w:lang w:val="en-US" w:eastAsia="zh-CN" w:bidi="ar-SA"/>
                    </w:rPr>
                  </w:pPr>
                </w:p>
              </w:tc>
            </w:tr>
            <w:tr w14:paraId="3F48FFB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3044F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57</w:t>
                  </w:r>
                </w:p>
              </w:tc>
              <w:tc>
                <w:tcPr>
                  <w:tcW w:w="240" w:type="pct"/>
                  <w:noWrap w:val="0"/>
                  <w:vAlign w:val="center"/>
                </w:tcPr>
                <w:p w14:paraId="5B1A9F4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288D8F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5122CBE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7A192F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2432CB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5F670F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FF4162B">
                  <w:pPr>
                    <w:widowControl w:val="0"/>
                    <w:jc w:val="both"/>
                    <w:rPr>
                      <w:rFonts w:ascii="Calibri" w:hAnsi="Calibri"/>
                      <w:kern w:val="2"/>
                      <w:sz w:val="21"/>
                      <w:lang w:val="en-US" w:eastAsia="zh-CN" w:bidi="ar-SA"/>
                    </w:rPr>
                  </w:pPr>
                </w:p>
              </w:tc>
              <w:tc>
                <w:tcPr>
                  <w:tcW w:w="0" w:type="auto"/>
                  <w:noWrap w:val="0"/>
                  <w:vAlign w:val="center"/>
                </w:tcPr>
                <w:p w14:paraId="73B67E85">
                  <w:pPr>
                    <w:widowControl w:val="0"/>
                    <w:jc w:val="both"/>
                    <w:rPr>
                      <w:rFonts w:ascii="Calibri" w:hAnsi="Calibri"/>
                      <w:kern w:val="2"/>
                      <w:sz w:val="21"/>
                      <w:lang w:val="en-US" w:eastAsia="zh-CN" w:bidi="ar-SA"/>
                    </w:rPr>
                  </w:pPr>
                </w:p>
              </w:tc>
              <w:tc>
                <w:tcPr>
                  <w:tcW w:w="0" w:type="auto"/>
                  <w:noWrap w:val="0"/>
                  <w:vAlign w:val="center"/>
                </w:tcPr>
                <w:p w14:paraId="77F370E8">
                  <w:pPr>
                    <w:widowControl w:val="0"/>
                    <w:jc w:val="both"/>
                    <w:rPr>
                      <w:rFonts w:ascii="Calibri" w:hAnsi="Calibri"/>
                      <w:kern w:val="2"/>
                      <w:sz w:val="21"/>
                      <w:lang w:val="en-US" w:eastAsia="zh-CN" w:bidi="ar-SA"/>
                    </w:rPr>
                  </w:pPr>
                </w:p>
              </w:tc>
              <w:tc>
                <w:tcPr>
                  <w:tcW w:w="0" w:type="auto"/>
                  <w:noWrap w:val="0"/>
                  <w:vAlign w:val="center"/>
                </w:tcPr>
                <w:p w14:paraId="440F22E5">
                  <w:pPr>
                    <w:widowControl w:val="0"/>
                    <w:jc w:val="both"/>
                    <w:rPr>
                      <w:rFonts w:ascii="Calibri" w:hAnsi="Calibri"/>
                      <w:kern w:val="2"/>
                      <w:sz w:val="21"/>
                      <w:lang w:val="en-US" w:eastAsia="zh-CN" w:bidi="ar-SA"/>
                    </w:rPr>
                  </w:pPr>
                </w:p>
              </w:tc>
              <w:tc>
                <w:tcPr>
                  <w:tcW w:w="0" w:type="auto"/>
                  <w:noWrap w:val="0"/>
                  <w:vAlign w:val="center"/>
                </w:tcPr>
                <w:p w14:paraId="52A2D37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894817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997CC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0EA1AC31">
                  <w:pPr>
                    <w:widowControl w:val="0"/>
                    <w:jc w:val="both"/>
                    <w:rPr>
                      <w:rFonts w:ascii="Calibri" w:hAnsi="Calibri"/>
                      <w:kern w:val="2"/>
                      <w:sz w:val="21"/>
                      <w:lang w:val="en-US" w:eastAsia="zh-CN" w:bidi="ar-SA"/>
                    </w:rPr>
                  </w:pPr>
                </w:p>
              </w:tc>
            </w:tr>
            <w:tr w14:paraId="33F5D17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E8F6C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58</w:t>
                  </w:r>
                </w:p>
              </w:tc>
              <w:tc>
                <w:tcPr>
                  <w:tcW w:w="240" w:type="pct"/>
                  <w:noWrap w:val="0"/>
                  <w:vAlign w:val="center"/>
                </w:tcPr>
                <w:p w14:paraId="4A8A5A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2446CD2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19C641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79F97A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3CD77D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48B7D6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96ED023">
                  <w:pPr>
                    <w:widowControl w:val="0"/>
                    <w:jc w:val="both"/>
                    <w:rPr>
                      <w:rFonts w:ascii="Calibri" w:hAnsi="Calibri"/>
                      <w:kern w:val="2"/>
                      <w:sz w:val="21"/>
                      <w:lang w:val="en-US" w:eastAsia="zh-CN" w:bidi="ar-SA"/>
                    </w:rPr>
                  </w:pPr>
                </w:p>
              </w:tc>
              <w:tc>
                <w:tcPr>
                  <w:tcW w:w="0" w:type="auto"/>
                  <w:noWrap w:val="0"/>
                  <w:vAlign w:val="center"/>
                </w:tcPr>
                <w:p w14:paraId="132CCFB6">
                  <w:pPr>
                    <w:widowControl w:val="0"/>
                    <w:jc w:val="both"/>
                    <w:rPr>
                      <w:rFonts w:ascii="Calibri" w:hAnsi="Calibri"/>
                      <w:kern w:val="2"/>
                      <w:sz w:val="21"/>
                      <w:lang w:val="en-US" w:eastAsia="zh-CN" w:bidi="ar-SA"/>
                    </w:rPr>
                  </w:pPr>
                </w:p>
              </w:tc>
              <w:tc>
                <w:tcPr>
                  <w:tcW w:w="0" w:type="auto"/>
                  <w:noWrap w:val="0"/>
                  <w:vAlign w:val="center"/>
                </w:tcPr>
                <w:p w14:paraId="1854A571">
                  <w:pPr>
                    <w:widowControl w:val="0"/>
                    <w:jc w:val="both"/>
                    <w:rPr>
                      <w:rFonts w:ascii="Calibri" w:hAnsi="Calibri"/>
                      <w:kern w:val="2"/>
                      <w:sz w:val="21"/>
                      <w:lang w:val="en-US" w:eastAsia="zh-CN" w:bidi="ar-SA"/>
                    </w:rPr>
                  </w:pPr>
                </w:p>
              </w:tc>
              <w:tc>
                <w:tcPr>
                  <w:tcW w:w="0" w:type="auto"/>
                  <w:noWrap w:val="0"/>
                  <w:vAlign w:val="center"/>
                </w:tcPr>
                <w:p w14:paraId="0A658608">
                  <w:pPr>
                    <w:widowControl w:val="0"/>
                    <w:jc w:val="both"/>
                    <w:rPr>
                      <w:rFonts w:ascii="Calibri" w:hAnsi="Calibri"/>
                      <w:kern w:val="2"/>
                      <w:sz w:val="21"/>
                      <w:lang w:val="en-US" w:eastAsia="zh-CN" w:bidi="ar-SA"/>
                    </w:rPr>
                  </w:pPr>
                </w:p>
              </w:tc>
              <w:tc>
                <w:tcPr>
                  <w:tcW w:w="0" w:type="auto"/>
                  <w:noWrap w:val="0"/>
                  <w:vAlign w:val="center"/>
                </w:tcPr>
                <w:p w14:paraId="4A59C3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F623AE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BEFBAE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6AC5DA9C">
                  <w:pPr>
                    <w:widowControl w:val="0"/>
                    <w:jc w:val="both"/>
                    <w:rPr>
                      <w:rFonts w:ascii="Calibri" w:hAnsi="Calibri"/>
                      <w:kern w:val="2"/>
                      <w:sz w:val="21"/>
                      <w:lang w:val="en-US" w:eastAsia="zh-CN" w:bidi="ar-SA"/>
                    </w:rPr>
                  </w:pPr>
                </w:p>
              </w:tc>
            </w:tr>
            <w:tr w14:paraId="1DF46BA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762924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59</w:t>
                  </w:r>
                </w:p>
              </w:tc>
              <w:tc>
                <w:tcPr>
                  <w:tcW w:w="240" w:type="pct"/>
                  <w:noWrap w:val="0"/>
                  <w:vAlign w:val="center"/>
                </w:tcPr>
                <w:p w14:paraId="391D943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1E68C4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470A99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705556A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21AD67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005CC2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7BDB37C">
                  <w:pPr>
                    <w:widowControl w:val="0"/>
                    <w:jc w:val="both"/>
                    <w:rPr>
                      <w:rFonts w:ascii="Calibri" w:hAnsi="Calibri"/>
                      <w:kern w:val="2"/>
                      <w:sz w:val="21"/>
                      <w:lang w:val="en-US" w:eastAsia="zh-CN" w:bidi="ar-SA"/>
                    </w:rPr>
                  </w:pPr>
                </w:p>
              </w:tc>
              <w:tc>
                <w:tcPr>
                  <w:tcW w:w="0" w:type="auto"/>
                  <w:noWrap w:val="0"/>
                  <w:vAlign w:val="center"/>
                </w:tcPr>
                <w:p w14:paraId="6BA23E05">
                  <w:pPr>
                    <w:widowControl w:val="0"/>
                    <w:jc w:val="both"/>
                    <w:rPr>
                      <w:rFonts w:ascii="Calibri" w:hAnsi="Calibri"/>
                      <w:kern w:val="2"/>
                      <w:sz w:val="21"/>
                      <w:lang w:val="en-US" w:eastAsia="zh-CN" w:bidi="ar-SA"/>
                    </w:rPr>
                  </w:pPr>
                </w:p>
              </w:tc>
              <w:tc>
                <w:tcPr>
                  <w:tcW w:w="0" w:type="auto"/>
                  <w:noWrap w:val="0"/>
                  <w:vAlign w:val="center"/>
                </w:tcPr>
                <w:p w14:paraId="739F195F">
                  <w:pPr>
                    <w:widowControl w:val="0"/>
                    <w:jc w:val="both"/>
                    <w:rPr>
                      <w:rFonts w:ascii="Calibri" w:hAnsi="Calibri"/>
                      <w:kern w:val="2"/>
                      <w:sz w:val="21"/>
                      <w:lang w:val="en-US" w:eastAsia="zh-CN" w:bidi="ar-SA"/>
                    </w:rPr>
                  </w:pPr>
                </w:p>
              </w:tc>
              <w:tc>
                <w:tcPr>
                  <w:tcW w:w="0" w:type="auto"/>
                  <w:noWrap w:val="0"/>
                  <w:vAlign w:val="center"/>
                </w:tcPr>
                <w:p w14:paraId="5646C79F">
                  <w:pPr>
                    <w:widowControl w:val="0"/>
                    <w:jc w:val="both"/>
                    <w:rPr>
                      <w:rFonts w:ascii="Calibri" w:hAnsi="Calibri"/>
                      <w:kern w:val="2"/>
                      <w:sz w:val="21"/>
                      <w:lang w:val="en-US" w:eastAsia="zh-CN" w:bidi="ar-SA"/>
                    </w:rPr>
                  </w:pPr>
                </w:p>
              </w:tc>
              <w:tc>
                <w:tcPr>
                  <w:tcW w:w="0" w:type="auto"/>
                  <w:noWrap w:val="0"/>
                  <w:vAlign w:val="center"/>
                </w:tcPr>
                <w:p w14:paraId="59372AE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CBC7F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E55C5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火焰原子吸收分光光度法(HJ 491-2019)</w:t>
                  </w:r>
                </w:p>
              </w:tc>
              <w:tc>
                <w:tcPr>
                  <w:tcW w:w="83" w:type="pct"/>
                  <w:noWrap w:val="0"/>
                  <w:vAlign w:val="center"/>
                </w:tcPr>
                <w:p w14:paraId="040FAF48">
                  <w:pPr>
                    <w:widowControl w:val="0"/>
                    <w:jc w:val="both"/>
                    <w:rPr>
                      <w:rFonts w:ascii="Calibri" w:hAnsi="Calibri"/>
                      <w:kern w:val="2"/>
                      <w:sz w:val="21"/>
                      <w:lang w:val="en-US" w:eastAsia="zh-CN" w:bidi="ar-SA"/>
                    </w:rPr>
                  </w:pPr>
                </w:p>
              </w:tc>
            </w:tr>
            <w:tr w14:paraId="080FFFE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03A72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60</w:t>
                  </w:r>
                </w:p>
              </w:tc>
              <w:tc>
                <w:tcPr>
                  <w:tcW w:w="240" w:type="pct"/>
                  <w:noWrap w:val="0"/>
                  <w:vAlign w:val="center"/>
                </w:tcPr>
                <w:p w14:paraId="6343E6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471F83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4E266DC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14235CB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4D8C862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5274EEB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4B72CE5">
                  <w:pPr>
                    <w:widowControl w:val="0"/>
                    <w:jc w:val="both"/>
                    <w:rPr>
                      <w:rFonts w:ascii="Calibri" w:hAnsi="Calibri"/>
                      <w:kern w:val="2"/>
                      <w:sz w:val="21"/>
                      <w:lang w:val="en-US" w:eastAsia="zh-CN" w:bidi="ar-SA"/>
                    </w:rPr>
                  </w:pPr>
                </w:p>
              </w:tc>
              <w:tc>
                <w:tcPr>
                  <w:tcW w:w="0" w:type="auto"/>
                  <w:noWrap w:val="0"/>
                  <w:vAlign w:val="center"/>
                </w:tcPr>
                <w:p w14:paraId="3BBDBFC9">
                  <w:pPr>
                    <w:widowControl w:val="0"/>
                    <w:jc w:val="both"/>
                    <w:rPr>
                      <w:rFonts w:ascii="Calibri" w:hAnsi="Calibri"/>
                      <w:kern w:val="2"/>
                      <w:sz w:val="21"/>
                      <w:lang w:val="en-US" w:eastAsia="zh-CN" w:bidi="ar-SA"/>
                    </w:rPr>
                  </w:pPr>
                </w:p>
              </w:tc>
              <w:tc>
                <w:tcPr>
                  <w:tcW w:w="0" w:type="auto"/>
                  <w:noWrap w:val="0"/>
                  <w:vAlign w:val="center"/>
                </w:tcPr>
                <w:p w14:paraId="2B20B63E">
                  <w:pPr>
                    <w:widowControl w:val="0"/>
                    <w:jc w:val="both"/>
                    <w:rPr>
                      <w:rFonts w:ascii="Calibri" w:hAnsi="Calibri"/>
                      <w:kern w:val="2"/>
                      <w:sz w:val="21"/>
                      <w:lang w:val="en-US" w:eastAsia="zh-CN" w:bidi="ar-SA"/>
                    </w:rPr>
                  </w:pPr>
                </w:p>
              </w:tc>
              <w:tc>
                <w:tcPr>
                  <w:tcW w:w="0" w:type="auto"/>
                  <w:noWrap w:val="0"/>
                  <w:vAlign w:val="center"/>
                </w:tcPr>
                <w:p w14:paraId="349DAD0F">
                  <w:pPr>
                    <w:widowControl w:val="0"/>
                    <w:jc w:val="both"/>
                    <w:rPr>
                      <w:rFonts w:ascii="Calibri" w:hAnsi="Calibri"/>
                      <w:kern w:val="2"/>
                      <w:sz w:val="21"/>
                      <w:lang w:val="en-US" w:eastAsia="zh-CN" w:bidi="ar-SA"/>
                    </w:rPr>
                  </w:pPr>
                </w:p>
              </w:tc>
              <w:tc>
                <w:tcPr>
                  <w:tcW w:w="0" w:type="auto"/>
                  <w:noWrap w:val="0"/>
                  <w:vAlign w:val="center"/>
                </w:tcPr>
                <w:p w14:paraId="4B1F457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6CC23D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81E955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0428238A">
                  <w:pPr>
                    <w:widowControl w:val="0"/>
                    <w:jc w:val="both"/>
                    <w:rPr>
                      <w:rFonts w:ascii="Calibri" w:hAnsi="Calibri"/>
                      <w:kern w:val="2"/>
                      <w:sz w:val="21"/>
                      <w:lang w:val="en-US" w:eastAsia="zh-CN" w:bidi="ar-SA"/>
                    </w:rPr>
                  </w:pPr>
                </w:p>
              </w:tc>
            </w:tr>
            <w:tr w14:paraId="2BE5BF0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BC296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61</w:t>
                  </w:r>
                </w:p>
              </w:tc>
              <w:tc>
                <w:tcPr>
                  <w:tcW w:w="240" w:type="pct"/>
                  <w:noWrap w:val="0"/>
                  <w:vAlign w:val="center"/>
                </w:tcPr>
                <w:p w14:paraId="7A191A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49A8815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569F30C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70243E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720951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1C962A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96F4341">
                  <w:pPr>
                    <w:widowControl w:val="0"/>
                    <w:jc w:val="both"/>
                    <w:rPr>
                      <w:rFonts w:ascii="Calibri" w:hAnsi="Calibri"/>
                      <w:kern w:val="2"/>
                      <w:sz w:val="21"/>
                      <w:lang w:val="en-US" w:eastAsia="zh-CN" w:bidi="ar-SA"/>
                    </w:rPr>
                  </w:pPr>
                </w:p>
              </w:tc>
              <w:tc>
                <w:tcPr>
                  <w:tcW w:w="0" w:type="auto"/>
                  <w:noWrap w:val="0"/>
                  <w:vAlign w:val="center"/>
                </w:tcPr>
                <w:p w14:paraId="2138F834">
                  <w:pPr>
                    <w:widowControl w:val="0"/>
                    <w:jc w:val="both"/>
                    <w:rPr>
                      <w:rFonts w:ascii="Calibri" w:hAnsi="Calibri"/>
                      <w:kern w:val="2"/>
                      <w:sz w:val="21"/>
                      <w:lang w:val="en-US" w:eastAsia="zh-CN" w:bidi="ar-SA"/>
                    </w:rPr>
                  </w:pPr>
                </w:p>
              </w:tc>
              <w:tc>
                <w:tcPr>
                  <w:tcW w:w="0" w:type="auto"/>
                  <w:noWrap w:val="0"/>
                  <w:vAlign w:val="center"/>
                </w:tcPr>
                <w:p w14:paraId="225AB03D">
                  <w:pPr>
                    <w:widowControl w:val="0"/>
                    <w:jc w:val="both"/>
                    <w:rPr>
                      <w:rFonts w:ascii="Calibri" w:hAnsi="Calibri"/>
                      <w:kern w:val="2"/>
                      <w:sz w:val="21"/>
                      <w:lang w:val="en-US" w:eastAsia="zh-CN" w:bidi="ar-SA"/>
                    </w:rPr>
                  </w:pPr>
                </w:p>
              </w:tc>
              <w:tc>
                <w:tcPr>
                  <w:tcW w:w="0" w:type="auto"/>
                  <w:noWrap w:val="0"/>
                  <w:vAlign w:val="center"/>
                </w:tcPr>
                <w:p w14:paraId="44A90DE3">
                  <w:pPr>
                    <w:widowControl w:val="0"/>
                    <w:jc w:val="both"/>
                    <w:rPr>
                      <w:rFonts w:ascii="Calibri" w:hAnsi="Calibri"/>
                      <w:kern w:val="2"/>
                      <w:sz w:val="21"/>
                      <w:lang w:val="en-US" w:eastAsia="zh-CN" w:bidi="ar-SA"/>
                    </w:rPr>
                  </w:pPr>
                </w:p>
              </w:tc>
              <w:tc>
                <w:tcPr>
                  <w:tcW w:w="0" w:type="auto"/>
                  <w:noWrap w:val="0"/>
                  <w:vAlign w:val="center"/>
                </w:tcPr>
                <w:p w14:paraId="612497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D30AA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743E80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189C5BB3">
                  <w:pPr>
                    <w:widowControl w:val="0"/>
                    <w:jc w:val="both"/>
                    <w:rPr>
                      <w:rFonts w:ascii="Calibri" w:hAnsi="Calibri"/>
                      <w:kern w:val="2"/>
                      <w:sz w:val="21"/>
                      <w:lang w:val="en-US" w:eastAsia="zh-CN" w:bidi="ar-SA"/>
                    </w:rPr>
                  </w:pPr>
                </w:p>
              </w:tc>
            </w:tr>
            <w:tr w14:paraId="45A70C7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41355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62</w:t>
                  </w:r>
                </w:p>
              </w:tc>
              <w:tc>
                <w:tcPr>
                  <w:tcW w:w="240" w:type="pct"/>
                  <w:noWrap w:val="0"/>
                  <w:vAlign w:val="center"/>
                </w:tcPr>
                <w:p w14:paraId="1258DC3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BA2F2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657C1F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0F5A16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54898A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1B9E2F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F4964FF">
                  <w:pPr>
                    <w:widowControl w:val="0"/>
                    <w:jc w:val="both"/>
                    <w:rPr>
                      <w:rFonts w:ascii="Calibri" w:hAnsi="Calibri"/>
                      <w:kern w:val="2"/>
                      <w:sz w:val="21"/>
                      <w:lang w:val="en-US" w:eastAsia="zh-CN" w:bidi="ar-SA"/>
                    </w:rPr>
                  </w:pPr>
                </w:p>
              </w:tc>
              <w:tc>
                <w:tcPr>
                  <w:tcW w:w="0" w:type="auto"/>
                  <w:noWrap w:val="0"/>
                  <w:vAlign w:val="center"/>
                </w:tcPr>
                <w:p w14:paraId="5DB5FB0B">
                  <w:pPr>
                    <w:widowControl w:val="0"/>
                    <w:jc w:val="both"/>
                    <w:rPr>
                      <w:rFonts w:ascii="Calibri" w:hAnsi="Calibri"/>
                      <w:kern w:val="2"/>
                      <w:sz w:val="21"/>
                      <w:lang w:val="en-US" w:eastAsia="zh-CN" w:bidi="ar-SA"/>
                    </w:rPr>
                  </w:pPr>
                </w:p>
              </w:tc>
              <w:tc>
                <w:tcPr>
                  <w:tcW w:w="0" w:type="auto"/>
                  <w:noWrap w:val="0"/>
                  <w:vAlign w:val="center"/>
                </w:tcPr>
                <w:p w14:paraId="7E374502">
                  <w:pPr>
                    <w:widowControl w:val="0"/>
                    <w:jc w:val="both"/>
                    <w:rPr>
                      <w:rFonts w:ascii="Calibri" w:hAnsi="Calibri"/>
                      <w:kern w:val="2"/>
                      <w:sz w:val="21"/>
                      <w:lang w:val="en-US" w:eastAsia="zh-CN" w:bidi="ar-SA"/>
                    </w:rPr>
                  </w:pPr>
                </w:p>
              </w:tc>
              <w:tc>
                <w:tcPr>
                  <w:tcW w:w="0" w:type="auto"/>
                  <w:noWrap w:val="0"/>
                  <w:vAlign w:val="center"/>
                </w:tcPr>
                <w:p w14:paraId="729C1D30">
                  <w:pPr>
                    <w:widowControl w:val="0"/>
                    <w:jc w:val="both"/>
                    <w:rPr>
                      <w:rFonts w:ascii="Calibri" w:hAnsi="Calibri"/>
                      <w:kern w:val="2"/>
                      <w:sz w:val="21"/>
                      <w:lang w:val="en-US" w:eastAsia="zh-CN" w:bidi="ar-SA"/>
                    </w:rPr>
                  </w:pPr>
                </w:p>
              </w:tc>
              <w:tc>
                <w:tcPr>
                  <w:tcW w:w="0" w:type="auto"/>
                  <w:noWrap w:val="0"/>
                  <w:vAlign w:val="center"/>
                </w:tcPr>
                <w:p w14:paraId="71CBF99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864CD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3A230B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1DC3A700">
                  <w:pPr>
                    <w:widowControl w:val="0"/>
                    <w:jc w:val="both"/>
                    <w:rPr>
                      <w:rFonts w:ascii="Calibri" w:hAnsi="Calibri"/>
                      <w:kern w:val="2"/>
                      <w:sz w:val="21"/>
                      <w:lang w:val="en-US" w:eastAsia="zh-CN" w:bidi="ar-SA"/>
                    </w:rPr>
                  </w:pPr>
                </w:p>
              </w:tc>
            </w:tr>
            <w:tr w14:paraId="7D2AEB2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C1A42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63</w:t>
                  </w:r>
                </w:p>
              </w:tc>
              <w:tc>
                <w:tcPr>
                  <w:tcW w:w="240" w:type="pct"/>
                  <w:noWrap w:val="0"/>
                  <w:vAlign w:val="center"/>
                </w:tcPr>
                <w:p w14:paraId="3F51EA3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2480408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23AB205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0DF31D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4F9C94B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07EF81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0DCB3F0">
                  <w:pPr>
                    <w:widowControl w:val="0"/>
                    <w:jc w:val="both"/>
                    <w:rPr>
                      <w:rFonts w:ascii="Calibri" w:hAnsi="Calibri"/>
                      <w:kern w:val="2"/>
                      <w:sz w:val="21"/>
                      <w:lang w:val="en-US" w:eastAsia="zh-CN" w:bidi="ar-SA"/>
                    </w:rPr>
                  </w:pPr>
                </w:p>
              </w:tc>
              <w:tc>
                <w:tcPr>
                  <w:tcW w:w="0" w:type="auto"/>
                  <w:noWrap w:val="0"/>
                  <w:vAlign w:val="center"/>
                </w:tcPr>
                <w:p w14:paraId="0A62F70B">
                  <w:pPr>
                    <w:widowControl w:val="0"/>
                    <w:jc w:val="both"/>
                    <w:rPr>
                      <w:rFonts w:ascii="Calibri" w:hAnsi="Calibri"/>
                      <w:kern w:val="2"/>
                      <w:sz w:val="21"/>
                      <w:lang w:val="en-US" w:eastAsia="zh-CN" w:bidi="ar-SA"/>
                    </w:rPr>
                  </w:pPr>
                </w:p>
              </w:tc>
              <w:tc>
                <w:tcPr>
                  <w:tcW w:w="0" w:type="auto"/>
                  <w:noWrap w:val="0"/>
                  <w:vAlign w:val="center"/>
                </w:tcPr>
                <w:p w14:paraId="64E8248B">
                  <w:pPr>
                    <w:widowControl w:val="0"/>
                    <w:jc w:val="both"/>
                    <w:rPr>
                      <w:rFonts w:ascii="Calibri" w:hAnsi="Calibri"/>
                      <w:kern w:val="2"/>
                      <w:sz w:val="21"/>
                      <w:lang w:val="en-US" w:eastAsia="zh-CN" w:bidi="ar-SA"/>
                    </w:rPr>
                  </w:pPr>
                </w:p>
              </w:tc>
              <w:tc>
                <w:tcPr>
                  <w:tcW w:w="0" w:type="auto"/>
                  <w:noWrap w:val="0"/>
                  <w:vAlign w:val="center"/>
                </w:tcPr>
                <w:p w14:paraId="5131E4F4">
                  <w:pPr>
                    <w:widowControl w:val="0"/>
                    <w:jc w:val="both"/>
                    <w:rPr>
                      <w:rFonts w:ascii="Calibri" w:hAnsi="Calibri"/>
                      <w:kern w:val="2"/>
                      <w:sz w:val="21"/>
                      <w:lang w:val="en-US" w:eastAsia="zh-CN" w:bidi="ar-SA"/>
                    </w:rPr>
                  </w:pPr>
                </w:p>
              </w:tc>
              <w:tc>
                <w:tcPr>
                  <w:tcW w:w="0" w:type="auto"/>
                  <w:noWrap w:val="0"/>
                  <w:vAlign w:val="center"/>
                </w:tcPr>
                <w:p w14:paraId="24C7C77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C14109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2480E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6ECCFC00">
                  <w:pPr>
                    <w:widowControl w:val="0"/>
                    <w:jc w:val="both"/>
                    <w:rPr>
                      <w:rFonts w:ascii="Calibri" w:hAnsi="Calibri"/>
                      <w:kern w:val="2"/>
                      <w:sz w:val="21"/>
                      <w:lang w:val="en-US" w:eastAsia="zh-CN" w:bidi="ar-SA"/>
                    </w:rPr>
                  </w:pPr>
                </w:p>
              </w:tc>
            </w:tr>
            <w:tr w14:paraId="69BCFCC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B4A22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64</w:t>
                  </w:r>
                </w:p>
              </w:tc>
              <w:tc>
                <w:tcPr>
                  <w:tcW w:w="240" w:type="pct"/>
                  <w:noWrap w:val="0"/>
                  <w:vAlign w:val="center"/>
                </w:tcPr>
                <w:p w14:paraId="3B26A6E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766609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7424A3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5051B8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106EFA9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66C5A5C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5C7C01F">
                  <w:pPr>
                    <w:widowControl w:val="0"/>
                    <w:jc w:val="both"/>
                    <w:rPr>
                      <w:rFonts w:ascii="Calibri" w:hAnsi="Calibri"/>
                      <w:kern w:val="2"/>
                      <w:sz w:val="21"/>
                      <w:lang w:val="en-US" w:eastAsia="zh-CN" w:bidi="ar-SA"/>
                    </w:rPr>
                  </w:pPr>
                </w:p>
              </w:tc>
              <w:tc>
                <w:tcPr>
                  <w:tcW w:w="0" w:type="auto"/>
                  <w:noWrap w:val="0"/>
                  <w:vAlign w:val="center"/>
                </w:tcPr>
                <w:p w14:paraId="0EB16A9C">
                  <w:pPr>
                    <w:widowControl w:val="0"/>
                    <w:jc w:val="both"/>
                    <w:rPr>
                      <w:rFonts w:ascii="Calibri" w:hAnsi="Calibri"/>
                      <w:kern w:val="2"/>
                      <w:sz w:val="21"/>
                      <w:lang w:val="en-US" w:eastAsia="zh-CN" w:bidi="ar-SA"/>
                    </w:rPr>
                  </w:pPr>
                </w:p>
              </w:tc>
              <w:tc>
                <w:tcPr>
                  <w:tcW w:w="0" w:type="auto"/>
                  <w:noWrap w:val="0"/>
                  <w:vAlign w:val="center"/>
                </w:tcPr>
                <w:p w14:paraId="63C11D39">
                  <w:pPr>
                    <w:widowControl w:val="0"/>
                    <w:jc w:val="both"/>
                    <w:rPr>
                      <w:rFonts w:ascii="Calibri" w:hAnsi="Calibri"/>
                      <w:kern w:val="2"/>
                      <w:sz w:val="21"/>
                      <w:lang w:val="en-US" w:eastAsia="zh-CN" w:bidi="ar-SA"/>
                    </w:rPr>
                  </w:pPr>
                </w:p>
              </w:tc>
              <w:tc>
                <w:tcPr>
                  <w:tcW w:w="0" w:type="auto"/>
                  <w:noWrap w:val="0"/>
                  <w:vAlign w:val="center"/>
                </w:tcPr>
                <w:p w14:paraId="6C6C9CF7">
                  <w:pPr>
                    <w:widowControl w:val="0"/>
                    <w:jc w:val="both"/>
                    <w:rPr>
                      <w:rFonts w:ascii="Calibri" w:hAnsi="Calibri"/>
                      <w:kern w:val="2"/>
                      <w:sz w:val="21"/>
                      <w:lang w:val="en-US" w:eastAsia="zh-CN" w:bidi="ar-SA"/>
                    </w:rPr>
                  </w:pPr>
                </w:p>
              </w:tc>
              <w:tc>
                <w:tcPr>
                  <w:tcW w:w="0" w:type="auto"/>
                  <w:noWrap w:val="0"/>
                  <w:vAlign w:val="center"/>
                </w:tcPr>
                <w:p w14:paraId="38E425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B7311C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C3CF7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3C176EDD">
                  <w:pPr>
                    <w:widowControl w:val="0"/>
                    <w:jc w:val="both"/>
                    <w:rPr>
                      <w:rFonts w:ascii="Calibri" w:hAnsi="Calibri"/>
                      <w:kern w:val="2"/>
                      <w:sz w:val="21"/>
                      <w:lang w:val="en-US" w:eastAsia="zh-CN" w:bidi="ar-SA"/>
                    </w:rPr>
                  </w:pPr>
                </w:p>
              </w:tc>
            </w:tr>
            <w:tr w14:paraId="4AB2DAC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A982D3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65</w:t>
                  </w:r>
                </w:p>
              </w:tc>
              <w:tc>
                <w:tcPr>
                  <w:tcW w:w="240" w:type="pct"/>
                  <w:noWrap w:val="0"/>
                  <w:vAlign w:val="center"/>
                </w:tcPr>
                <w:p w14:paraId="4D3E7A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135DD3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EB59F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土壤监测点4</w:t>
                  </w:r>
                </w:p>
              </w:tc>
              <w:tc>
                <w:tcPr>
                  <w:tcW w:w="858" w:type="pct"/>
                  <w:noWrap w:val="0"/>
                  <w:vAlign w:val="center"/>
                </w:tcPr>
                <w:p w14:paraId="5FCD3CA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7C5C3C2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77357EC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3D611E3">
                  <w:pPr>
                    <w:widowControl w:val="0"/>
                    <w:jc w:val="both"/>
                    <w:rPr>
                      <w:rFonts w:ascii="Calibri" w:hAnsi="Calibri"/>
                      <w:kern w:val="2"/>
                      <w:sz w:val="21"/>
                      <w:lang w:val="en-US" w:eastAsia="zh-CN" w:bidi="ar-SA"/>
                    </w:rPr>
                  </w:pPr>
                </w:p>
              </w:tc>
              <w:tc>
                <w:tcPr>
                  <w:tcW w:w="0" w:type="auto"/>
                  <w:noWrap w:val="0"/>
                  <w:vAlign w:val="center"/>
                </w:tcPr>
                <w:p w14:paraId="67D2A05C">
                  <w:pPr>
                    <w:widowControl w:val="0"/>
                    <w:jc w:val="both"/>
                    <w:rPr>
                      <w:rFonts w:ascii="Calibri" w:hAnsi="Calibri"/>
                      <w:kern w:val="2"/>
                      <w:sz w:val="21"/>
                      <w:lang w:val="en-US" w:eastAsia="zh-CN" w:bidi="ar-SA"/>
                    </w:rPr>
                  </w:pPr>
                </w:p>
              </w:tc>
              <w:tc>
                <w:tcPr>
                  <w:tcW w:w="0" w:type="auto"/>
                  <w:noWrap w:val="0"/>
                  <w:vAlign w:val="center"/>
                </w:tcPr>
                <w:p w14:paraId="2B098A23">
                  <w:pPr>
                    <w:widowControl w:val="0"/>
                    <w:jc w:val="both"/>
                    <w:rPr>
                      <w:rFonts w:ascii="Calibri" w:hAnsi="Calibri"/>
                      <w:kern w:val="2"/>
                      <w:sz w:val="21"/>
                      <w:lang w:val="en-US" w:eastAsia="zh-CN" w:bidi="ar-SA"/>
                    </w:rPr>
                  </w:pPr>
                </w:p>
              </w:tc>
              <w:tc>
                <w:tcPr>
                  <w:tcW w:w="0" w:type="auto"/>
                  <w:noWrap w:val="0"/>
                  <w:vAlign w:val="center"/>
                </w:tcPr>
                <w:p w14:paraId="33512FEB">
                  <w:pPr>
                    <w:widowControl w:val="0"/>
                    <w:jc w:val="both"/>
                    <w:rPr>
                      <w:rFonts w:ascii="Calibri" w:hAnsi="Calibri"/>
                      <w:kern w:val="2"/>
                      <w:sz w:val="21"/>
                      <w:lang w:val="en-US" w:eastAsia="zh-CN" w:bidi="ar-SA"/>
                    </w:rPr>
                  </w:pPr>
                </w:p>
              </w:tc>
              <w:tc>
                <w:tcPr>
                  <w:tcW w:w="0" w:type="auto"/>
                  <w:noWrap w:val="0"/>
                  <w:vAlign w:val="center"/>
                </w:tcPr>
                <w:p w14:paraId="1B93529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9C0F35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8E6DA0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47BF17A8">
                  <w:pPr>
                    <w:widowControl w:val="0"/>
                    <w:jc w:val="both"/>
                    <w:rPr>
                      <w:rFonts w:ascii="Calibri" w:hAnsi="Calibri"/>
                      <w:kern w:val="2"/>
                      <w:sz w:val="21"/>
                      <w:lang w:val="en-US" w:eastAsia="zh-CN" w:bidi="ar-SA"/>
                    </w:rPr>
                  </w:pPr>
                </w:p>
              </w:tc>
            </w:tr>
            <w:tr w14:paraId="10DDB46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17F47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66</w:t>
                  </w:r>
                </w:p>
              </w:tc>
              <w:tc>
                <w:tcPr>
                  <w:tcW w:w="240" w:type="pct"/>
                  <w:noWrap w:val="0"/>
                  <w:vAlign w:val="center"/>
                </w:tcPr>
                <w:p w14:paraId="3AB6270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3647041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7E85C7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土壤监测点3</w:t>
                  </w:r>
                </w:p>
              </w:tc>
              <w:tc>
                <w:tcPr>
                  <w:tcW w:w="858" w:type="pct"/>
                  <w:noWrap w:val="0"/>
                  <w:vAlign w:val="center"/>
                </w:tcPr>
                <w:p w14:paraId="3A45D15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5ECB00E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44F9F3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85E51A0">
                  <w:pPr>
                    <w:widowControl w:val="0"/>
                    <w:jc w:val="both"/>
                    <w:rPr>
                      <w:rFonts w:ascii="Calibri" w:hAnsi="Calibri"/>
                      <w:kern w:val="2"/>
                      <w:sz w:val="21"/>
                      <w:lang w:val="en-US" w:eastAsia="zh-CN" w:bidi="ar-SA"/>
                    </w:rPr>
                  </w:pPr>
                </w:p>
              </w:tc>
              <w:tc>
                <w:tcPr>
                  <w:tcW w:w="0" w:type="auto"/>
                  <w:noWrap w:val="0"/>
                  <w:vAlign w:val="center"/>
                </w:tcPr>
                <w:p w14:paraId="06A347DA">
                  <w:pPr>
                    <w:widowControl w:val="0"/>
                    <w:jc w:val="both"/>
                    <w:rPr>
                      <w:rFonts w:ascii="Calibri" w:hAnsi="Calibri"/>
                      <w:kern w:val="2"/>
                      <w:sz w:val="21"/>
                      <w:lang w:val="en-US" w:eastAsia="zh-CN" w:bidi="ar-SA"/>
                    </w:rPr>
                  </w:pPr>
                </w:p>
              </w:tc>
              <w:tc>
                <w:tcPr>
                  <w:tcW w:w="0" w:type="auto"/>
                  <w:noWrap w:val="0"/>
                  <w:vAlign w:val="center"/>
                </w:tcPr>
                <w:p w14:paraId="3A980B68">
                  <w:pPr>
                    <w:widowControl w:val="0"/>
                    <w:jc w:val="both"/>
                    <w:rPr>
                      <w:rFonts w:ascii="Calibri" w:hAnsi="Calibri"/>
                      <w:kern w:val="2"/>
                      <w:sz w:val="21"/>
                      <w:lang w:val="en-US" w:eastAsia="zh-CN" w:bidi="ar-SA"/>
                    </w:rPr>
                  </w:pPr>
                </w:p>
              </w:tc>
              <w:tc>
                <w:tcPr>
                  <w:tcW w:w="0" w:type="auto"/>
                  <w:noWrap w:val="0"/>
                  <w:vAlign w:val="center"/>
                </w:tcPr>
                <w:p w14:paraId="001090F9">
                  <w:pPr>
                    <w:widowControl w:val="0"/>
                    <w:jc w:val="both"/>
                    <w:rPr>
                      <w:rFonts w:ascii="Calibri" w:hAnsi="Calibri"/>
                      <w:kern w:val="2"/>
                      <w:sz w:val="21"/>
                      <w:lang w:val="en-US" w:eastAsia="zh-CN" w:bidi="ar-SA"/>
                    </w:rPr>
                  </w:pPr>
                </w:p>
              </w:tc>
              <w:tc>
                <w:tcPr>
                  <w:tcW w:w="0" w:type="auto"/>
                  <w:noWrap w:val="0"/>
                  <w:vAlign w:val="center"/>
                </w:tcPr>
                <w:p w14:paraId="08D387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EB9FA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1A16C4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3987A7D6">
                  <w:pPr>
                    <w:widowControl w:val="0"/>
                    <w:jc w:val="both"/>
                    <w:rPr>
                      <w:rFonts w:ascii="Calibri" w:hAnsi="Calibri"/>
                      <w:kern w:val="2"/>
                      <w:sz w:val="21"/>
                      <w:lang w:val="en-US" w:eastAsia="zh-CN" w:bidi="ar-SA"/>
                    </w:rPr>
                  </w:pPr>
                </w:p>
              </w:tc>
            </w:tr>
            <w:tr w14:paraId="39BB31F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ECD963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67</w:t>
                  </w:r>
                </w:p>
              </w:tc>
              <w:tc>
                <w:tcPr>
                  <w:tcW w:w="240" w:type="pct"/>
                  <w:noWrap w:val="0"/>
                  <w:vAlign w:val="center"/>
                </w:tcPr>
                <w:p w14:paraId="513E60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773816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63A19D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土壤监测点5</w:t>
                  </w:r>
                </w:p>
              </w:tc>
              <w:tc>
                <w:tcPr>
                  <w:tcW w:w="858" w:type="pct"/>
                  <w:noWrap w:val="0"/>
                  <w:vAlign w:val="center"/>
                </w:tcPr>
                <w:p w14:paraId="2259D5A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5D68E8F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1400005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705AC68">
                  <w:pPr>
                    <w:widowControl w:val="0"/>
                    <w:jc w:val="both"/>
                    <w:rPr>
                      <w:rFonts w:ascii="Calibri" w:hAnsi="Calibri"/>
                      <w:kern w:val="2"/>
                      <w:sz w:val="21"/>
                      <w:lang w:val="en-US" w:eastAsia="zh-CN" w:bidi="ar-SA"/>
                    </w:rPr>
                  </w:pPr>
                </w:p>
              </w:tc>
              <w:tc>
                <w:tcPr>
                  <w:tcW w:w="0" w:type="auto"/>
                  <w:noWrap w:val="0"/>
                  <w:vAlign w:val="center"/>
                </w:tcPr>
                <w:p w14:paraId="049E321D">
                  <w:pPr>
                    <w:widowControl w:val="0"/>
                    <w:jc w:val="both"/>
                    <w:rPr>
                      <w:rFonts w:ascii="Calibri" w:hAnsi="Calibri"/>
                      <w:kern w:val="2"/>
                      <w:sz w:val="21"/>
                      <w:lang w:val="en-US" w:eastAsia="zh-CN" w:bidi="ar-SA"/>
                    </w:rPr>
                  </w:pPr>
                </w:p>
              </w:tc>
              <w:tc>
                <w:tcPr>
                  <w:tcW w:w="0" w:type="auto"/>
                  <w:noWrap w:val="0"/>
                  <w:vAlign w:val="center"/>
                </w:tcPr>
                <w:p w14:paraId="5459BA8D">
                  <w:pPr>
                    <w:widowControl w:val="0"/>
                    <w:jc w:val="both"/>
                    <w:rPr>
                      <w:rFonts w:ascii="Calibri" w:hAnsi="Calibri"/>
                      <w:kern w:val="2"/>
                      <w:sz w:val="21"/>
                      <w:lang w:val="en-US" w:eastAsia="zh-CN" w:bidi="ar-SA"/>
                    </w:rPr>
                  </w:pPr>
                </w:p>
              </w:tc>
              <w:tc>
                <w:tcPr>
                  <w:tcW w:w="0" w:type="auto"/>
                  <w:noWrap w:val="0"/>
                  <w:vAlign w:val="center"/>
                </w:tcPr>
                <w:p w14:paraId="2FFA9EB3">
                  <w:pPr>
                    <w:widowControl w:val="0"/>
                    <w:jc w:val="both"/>
                    <w:rPr>
                      <w:rFonts w:ascii="Calibri" w:hAnsi="Calibri"/>
                      <w:kern w:val="2"/>
                      <w:sz w:val="21"/>
                      <w:lang w:val="en-US" w:eastAsia="zh-CN" w:bidi="ar-SA"/>
                    </w:rPr>
                  </w:pPr>
                </w:p>
              </w:tc>
              <w:tc>
                <w:tcPr>
                  <w:tcW w:w="0" w:type="auto"/>
                  <w:noWrap w:val="0"/>
                  <w:vAlign w:val="center"/>
                </w:tcPr>
                <w:p w14:paraId="5F02CA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196B9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640837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4FCEDB60">
                  <w:pPr>
                    <w:widowControl w:val="0"/>
                    <w:jc w:val="both"/>
                    <w:rPr>
                      <w:rFonts w:ascii="Calibri" w:hAnsi="Calibri"/>
                      <w:kern w:val="2"/>
                      <w:sz w:val="21"/>
                      <w:lang w:val="en-US" w:eastAsia="zh-CN" w:bidi="ar-SA"/>
                    </w:rPr>
                  </w:pPr>
                </w:p>
              </w:tc>
            </w:tr>
            <w:tr w14:paraId="3B77DDB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0EE413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68</w:t>
                  </w:r>
                </w:p>
              </w:tc>
              <w:tc>
                <w:tcPr>
                  <w:tcW w:w="240" w:type="pct"/>
                  <w:noWrap w:val="0"/>
                  <w:vAlign w:val="center"/>
                </w:tcPr>
                <w:p w14:paraId="3412CA9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1BB2E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106143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土壤监测点6</w:t>
                  </w:r>
                </w:p>
              </w:tc>
              <w:tc>
                <w:tcPr>
                  <w:tcW w:w="858" w:type="pct"/>
                  <w:noWrap w:val="0"/>
                  <w:vAlign w:val="center"/>
                </w:tcPr>
                <w:p w14:paraId="625CA98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pH值,总铜,总铬,六价铬,总镉,总汞,总锌,总铅,总砷,总镍</w:t>
                  </w:r>
                </w:p>
              </w:tc>
              <w:tc>
                <w:tcPr>
                  <w:tcW w:w="209" w:type="pct"/>
                  <w:noWrap w:val="0"/>
                  <w:vAlign w:val="center"/>
                </w:tcPr>
                <w:p w14:paraId="332AB2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6929F77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AB7783C">
                  <w:pPr>
                    <w:widowControl w:val="0"/>
                    <w:jc w:val="both"/>
                    <w:rPr>
                      <w:rFonts w:ascii="Calibri" w:hAnsi="Calibri"/>
                      <w:kern w:val="2"/>
                      <w:sz w:val="21"/>
                      <w:lang w:val="en-US" w:eastAsia="zh-CN" w:bidi="ar-SA"/>
                    </w:rPr>
                  </w:pPr>
                </w:p>
              </w:tc>
              <w:tc>
                <w:tcPr>
                  <w:tcW w:w="0" w:type="auto"/>
                  <w:noWrap w:val="0"/>
                  <w:vAlign w:val="center"/>
                </w:tcPr>
                <w:p w14:paraId="6B1F538D">
                  <w:pPr>
                    <w:widowControl w:val="0"/>
                    <w:jc w:val="both"/>
                    <w:rPr>
                      <w:rFonts w:ascii="Calibri" w:hAnsi="Calibri"/>
                      <w:kern w:val="2"/>
                      <w:sz w:val="21"/>
                      <w:lang w:val="en-US" w:eastAsia="zh-CN" w:bidi="ar-SA"/>
                    </w:rPr>
                  </w:pPr>
                </w:p>
              </w:tc>
              <w:tc>
                <w:tcPr>
                  <w:tcW w:w="0" w:type="auto"/>
                  <w:noWrap w:val="0"/>
                  <w:vAlign w:val="center"/>
                </w:tcPr>
                <w:p w14:paraId="40B1D239">
                  <w:pPr>
                    <w:widowControl w:val="0"/>
                    <w:jc w:val="both"/>
                    <w:rPr>
                      <w:rFonts w:ascii="Calibri" w:hAnsi="Calibri"/>
                      <w:kern w:val="2"/>
                      <w:sz w:val="21"/>
                      <w:lang w:val="en-US" w:eastAsia="zh-CN" w:bidi="ar-SA"/>
                    </w:rPr>
                  </w:pPr>
                </w:p>
              </w:tc>
              <w:tc>
                <w:tcPr>
                  <w:tcW w:w="0" w:type="auto"/>
                  <w:noWrap w:val="0"/>
                  <w:vAlign w:val="center"/>
                </w:tcPr>
                <w:p w14:paraId="38CC9717">
                  <w:pPr>
                    <w:widowControl w:val="0"/>
                    <w:jc w:val="both"/>
                    <w:rPr>
                      <w:rFonts w:ascii="Calibri" w:hAnsi="Calibri"/>
                      <w:kern w:val="2"/>
                      <w:sz w:val="21"/>
                      <w:lang w:val="en-US" w:eastAsia="zh-CN" w:bidi="ar-SA"/>
                    </w:rPr>
                  </w:pPr>
                </w:p>
              </w:tc>
              <w:tc>
                <w:tcPr>
                  <w:tcW w:w="0" w:type="auto"/>
                  <w:noWrap w:val="0"/>
                  <w:vAlign w:val="center"/>
                </w:tcPr>
                <w:p w14:paraId="49F5D55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3EC76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9BA20F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04852822">
                  <w:pPr>
                    <w:widowControl w:val="0"/>
                    <w:jc w:val="both"/>
                    <w:rPr>
                      <w:rFonts w:ascii="Calibri" w:hAnsi="Calibri"/>
                      <w:kern w:val="2"/>
                      <w:sz w:val="21"/>
                      <w:lang w:val="en-US" w:eastAsia="zh-CN" w:bidi="ar-SA"/>
                    </w:rPr>
                  </w:pPr>
                </w:p>
              </w:tc>
            </w:tr>
            <w:tr w14:paraId="79333F9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09316D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69</w:t>
                  </w:r>
                </w:p>
              </w:tc>
              <w:tc>
                <w:tcPr>
                  <w:tcW w:w="240" w:type="pct"/>
                  <w:noWrap w:val="0"/>
                  <w:vAlign w:val="center"/>
                </w:tcPr>
                <w:p w14:paraId="632900B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665FDA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02D28B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土壤监测点1</w:t>
                  </w:r>
                </w:p>
              </w:tc>
              <w:tc>
                <w:tcPr>
                  <w:tcW w:w="858" w:type="pct"/>
                  <w:noWrap w:val="0"/>
                  <w:vAlign w:val="center"/>
                </w:tcPr>
                <w:p w14:paraId="0B6690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总铜,pH值,总铬,六价铬,总镉,总汞,总锌,总砷,总铅,总镍</w:t>
                  </w:r>
                </w:p>
              </w:tc>
              <w:tc>
                <w:tcPr>
                  <w:tcW w:w="209" w:type="pct"/>
                  <w:noWrap w:val="0"/>
                  <w:vAlign w:val="center"/>
                </w:tcPr>
                <w:p w14:paraId="5B3E940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3D9D1E1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364307F">
                  <w:pPr>
                    <w:widowControl w:val="0"/>
                    <w:jc w:val="both"/>
                    <w:rPr>
                      <w:rFonts w:ascii="Calibri" w:hAnsi="Calibri"/>
                      <w:kern w:val="2"/>
                      <w:sz w:val="21"/>
                      <w:lang w:val="en-US" w:eastAsia="zh-CN" w:bidi="ar-SA"/>
                    </w:rPr>
                  </w:pPr>
                </w:p>
              </w:tc>
              <w:tc>
                <w:tcPr>
                  <w:tcW w:w="0" w:type="auto"/>
                  <w:noWrap w:val="0"/>
                  <w:vAlign w:val="center"/>
                </w:tcPr>
                <w:p w14:paraId="0C42979B">
                  <w:pPr>
                    <w:widowControl w:val="0"/>
                    <w:jc w:val="both"/>
                    <w:rPr>
                      <w:rFonts w:ascii="Calibri" w:hAnsi="Calibri"/>
                      <w:kern w:val="2"/>
                      <w:sz w:val="21"/>
                      <w:lang w:val="en-US" w:eastAsia="zh-CN" w:bidi="ar-SA"/>
                    </w:rPr>
                  </w:pPr>
                </w:p>
              </w:tc>
              <w:tc>
                <w:tcPr>
                  <w:tcW w:w="0" w:type="auto"/>
                  <w:noWrap w:val="0"/>
                  <w:vAlign w:val="center"/>
                </w:tcPr>
                <w:p w14:paraId="0222442A">
                  <w:pPr>
                    <w:widowControl w:val="0"/>
                    <w:jc w:val="both"/>
                    <w:rPr>
                      <w:rFonts w:ascii="Calibri" w:hAnsi="Calibri"/>
                      <w:kern w:val="2"/>
                      <w:sz w:val="21"/>
                      <w:lang w:val="en-US" w:eastAsia="zh-CN" w:bidi="ar-SA"/>
                    </w:rPr>
                  </w:pPr>
                </w:p>
              </w:tc>
              <w:tc>
                <w:tcPr>
                  <w:tcW w:w="0" w:type="auto"/>
                  <w:noWrap w:val="0"/>
                  <w:vAlign w:val="center"/>
                </w:tcPr>
                <w:p w14:paraId="2A04B120">
                  <w:pPr>
                    <w:widowControl w:val="0"/>
                    <w:jc w:val="both"/>
                    <w:rPr>
                      <w:rFonts w:ascii="Calibri" w:hAnsi="Calibri"/>
                      <w:kern w:val="2"/>
                      <w:sz w:val="21"/>
                      <w:lang w:val="en-US" w:eastAsia="zh-CN" w:bidi="ar-SA"/>
                    </w:rPr>
                  </w:pPr>
                </w:p>
              </w:tc>
              <w:tc>
                <w:tcPr>
                  <w:tcW w:w="0" w:type="auto"/>
                  <w:noWrap w:val="0"/>
                  <w:vAlign w:val="center"/>
                </w:tcPr>
                <w:p w14:paraId="4F26007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CA0428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5C73B6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30B796B3">
                  <w:pPr>
                    <w:widowControl w:val="0"/>
                    <w:jc w:val="both"/>
                    <w:rPr>
                      <w:rFonts w:ascii="Calibri" w:hAnsi="Calibri"/>
                      <w:kern w:val="2"/>
                      <w:sz w:val="21"/>
                      <w:lang w:val="en-US" w:eastAsia="zh-CN" w:bidi="ar-SA"/>
                    </w:rPr>
                  </w:pPr>
                </w:p>
              </w:tc>
            </w:tr>
            <w:tr w14:paraId="13C51BD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1D5F1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70</w:t>
                  </w:r>
                </w:p>
              </w:tc>
              <w:tc>
                <w:tcPr>
                  <w:tcW w:w="240" w:type="pct"/>
                  <w:noWrap w:val="0"/>
                  <w:vAlign w:val="center"/>
                </w:tcPr>
                <w:p w14:paraId="47816D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w:t>
                  </w:r>
                </w:p>
              </w:tc>
              <w:tc>
                <w:tcPr>
                  <w:tcW w:w="225" w:type="pct"/>
                  <w:noWrap w:val="0"/>
                  <w:vAlign w:val="center"/>
                </w:tcPr>
                <w:p w14:paraId="09FF12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监测点位</w:t>
                  </w:r>
                </w:p>
              </w:tc>
              <w:tc>
                <w:tcPr>
                  <w:tcW w:w="230" w:type="pct"/>
                  <w:noWrap w:val="0"/>
                  <w:vAlign w:val="center"/>
                </w:tcPr>
                <w:p w14:paraId="5EA89C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土壤监测点2</w:t>
                  </w:r>
                </w:p>
              </w:tc>
              <w:tc>
                <w:tcPr>
                  <w:tcW w:w="858" w:type="pct"/>
                  <w:noWrap w:val="0"/>
                  <w:vAlign w:val="center"/>
                </w:tcPr>
                <w:p w14:paraId="7820626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pH值,总铜,总铬,六价铬,总镉,总汞,总锌,总砷,总铅,总镍</w:t>
                  </w:r>
                </w:p>
              </w:tc>
              <w:tc>
                <w:tcPr>
                  <w:tcW w:w="209" w:type="pct"/>
                  <w:noWrap w:val="0"/>
                  <w:vAlign w:val="center"/>
                </w:tcPr>
                <w:p w14:paraId="13D3A4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3787173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B9CB6C5">
                  <w:pPr>
                    <w:widowControl w:val="0"/>
                    <w:jc w:val="both"/>
                    <w:rPr>
                      <w:rFonts w:ascii="Calibri" w:hAnsi="Calibri"/>
                      <w:kern w:val="2"/>
                      <w:sz w:val="21"/>
                      <w:lang w:val="en-US" w:eastAsia="zh-CN" w:bidi="ar-SA"/>
                    </w:rPr>
                  </w:pPr>
                </w:p>
              </w:tc>
              <w:tc>
                <w:tcPr>
                  <w:tcW w:w="0" w:type="auto"/>
                  <w:noWrap w:val="0"/>
                  <w:vAlign w:val="center"/>
                </w:tcPr>
                <w:p w14:paraId="682662C5">
                  <w:pPr>
                    <w:widowControl w:val="0"/>
                    <w:jc w:val="both"/>
                    <w:rPr>
                      <w:rFonts w:ascii="Calibri" w:hAnsi="Calibri"/>
                      <w:kern w:val="2"/>
                      <w:sz w:val="21"/>
                      <w:lang w:val="en-US" w:eastAsia="zh-CN" w:bidi="ar-SA"/>
                    </w:rPr>
                  </w:pPr>
                </w:p>
              </w:tc>
              <w:tc>
                <w:tcPr>
                  <w:tcW w:w="0" w:type="auto"/>
                  <w:noWrap w:val="0"/>
                  <w:vAlign w:val="center"/>
                </w:tcPr>
                <w:p w14:paraId="4A5B2A01">
                  <w:pPr>
                    <w:widowControl w:val="0"/>
                    <w:jc w:val="both"/>
                    <w:rPr>
                      <w:rFonts w:ascii="Calibri" w:hAnsi="Calibri"/>
                      <w:kern w:val="2"/>
                      <w:sz w:val="21"/>
                      <w:lang w:val="en-US" w:eastAsia="zh-CN" w:bidi="ar-SA"/>
                    </w:rPr>
                  </w:pPr>
                </w:p>
              </w:tc>
              <w:tc>
                <w:tcPr>
                  <w:tcW w:w="0" w:type="auto"/>
                  <w:noWrap w:val="0"/>
                  <w:vAlign w:val="center"/>
                </w:tcPr>
                <w:p w14:paraId="6229A248">
                  <w:pPr>
                    <w:widowControl w:val="0"/>
                    <w:jc w:val="both"/>
                    <w:rPr>
                      <w:rFonts w:ascii="Calibri" w:hAnsi="Calibri"/>
                      <w:kern w:val="2"/>
                      <w:sz w:val="21"/>
                      <w:lang w:val="en-US" w:eastAsia="zh-CN" w:bidi="ar-SA"/>
                    </w:rPr>
                  </w:pPr>
                </w:p>
              </w:tc>
              <w:tc>
                <w:tcPr>
                  <w:tcW w:w="0" w:type="auto"/>
                  <w:noWrap w:val="0"/>
                  <w:vAlign w:val="center"/>
                </w:tcPr>
                <w:p w14:paraId="19BFFEC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5771CC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D3A3F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土 壤和沉积物 铜、锌、铅、镍、铬的测定 火焰原子吸收分光光度法(HJ 491-2019)</w:t>
                  </w:r>
                </w:p>
              </w:tc>
              <w:tc>
                <w:tcPr>
                  <w:tcW w:w="83" w:type="pct"/>
                  <w:noWrap w:val="0"/>
                  <w:vAlign w:val="center"/>
                </w:tcPr>
                <w:p w14:paraId="69840B96">
                  <w:pPr>
                    <w:widowControl w:val="0"/>
                    <w:jc w:val="both"/>
                    <w:rPr>
                      <w:rFonts w:ascii="Calibri" w:hAnsi="Calibri"/>
                      <w:kern w:val="2"/>
                      <w:sz w:val="21"/>
                      <w:lang w:val="en-US" w:eastAsia="zh-CN" w:bidi="ar-SA"/>
                    </w:rPr>
                  </w:pPr>
                </w:p>
              </w:tc>
            </w:tr>
            <w:tr w14:paraId="47446D7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EA2147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71</w:t>
                  </w:r>
                </w:p>
              </w:tc>
              <w:tc>
                <w:tcPr>
                  <w:tcW w:w="240" w:type="pct"/>
                  <w:noWrap w:val="0"/>
                  <w:vAlign w:val="center"/>
                </w:tcPr>
                <w:p w14:paraId="210BB7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0139F7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E53B31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4B2603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4C5486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12AB46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5CD69D1">
                  <w:pPr>
                    <w:widowControl w:val="0"/>
                    <w:jc w:val="both"/>
                    <w:rPr>
                      <w:rFonts w:ascii="Calibri" w:hAnsi="Calibri"/>
                      <w:kern w:val="2"/>
                      <w:sz w:val="21"/>
                      <w:lang w:val="en-US" w:eastAsia="zh-CN" w:bidi="ar-SA"/>
                    </w:rPr>
                  </w:pPr>
                </w:p>
              </w:tc>
              <w:tc>
                <w:tcPr>
                  <w:tcW w:w="0" w:type="auto"/>
                  <w:noWrap w:val="0"/>
                  <w:vAlign w:val="center"/>
                </w:tcPr>
                <w:p w14:paraId="1137EE0A">
                  <w:pPr>
                    <w:widowControl w:val="0"/>
                    <w:jc w:val="both"/>
                    <w:rPr>
                      <w:rFonts w:ascii="Calibri" w:hAnsi="Calibri"/>
                      <w:kern w:val="2"/>
                      <w:sz w:val="21"/>
                      <w:lang w:val="en-US" w:eastAsia="zh-CN" w:bidi="ar-SA"/>
                    </w:rPr>
                  </w:pPr>
                </w:p>
              </w:tc>
              <w:tc>
                <w:tcPr>
                  <w:tcW w:w="0" w:type="auto"/>
                  <w:noWrap w:val="0"/>
                  <w:vAlign w:val="center"/>
                </w:tcPr>
                <w:p w14:paraId="35F77CC2">
                  <w:pPr>
                    <w:widowControl w:val="0"/>
                    <w:jc w:val="both"/>
                    <w:rPr>
                      <w:rFonts w:ascii="Calibri" w:hAnsi="Calibri"/>
                      <w:kern w:val="2"/>
                      <w:sz w:val="21"/>
                      <w:lang w:val="en-US" w:eastAsia="zh-CN" w:bidi="ar-SA"/>
                    </w:rPr>
                  </w:pPr>
                </w:p>
              </w:tc>
              <w:tc>
                <w:tcPr>
                  <w:tcW w:w="0" w:type="auto"/>
                  <w:noWrap w:val="0"/>
                  <w:vAlign w:val="center"/>
                </w:tcPr>
                <w:p w14:paraId="2F3B1D78">
                  <w:pPr>
                    <w:widowControl w:val="0"/>
                    <w:jc w:val="both"/>
                    <w:rPr>
                      <w:rFonts w:ascii="Calibri" w:hAnsi="Calibri"/>
                      <w:kern w:val="2"/>
                      <w:sz w:val="21"/>
                      <w:lang w:val="en-US" w:eastAsia="zh-CN" w:bidi="ar-SA"/>
                    </w:rPr>
                  </w:pPr>
                </w:p>
              </w:tc>
              <w:tc>
                <w:tcPr>
                  <w:tcW w:w="0" w:type="auto"/>
                  <w:noWrap w:val="0"/>
                  <w:vAlign w:val="center"/>
                </w:tcPr>
                <w:p w14:paraId="0B501D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FDC7AD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A7F78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pH值的测定 玻璃电极法 GB 6920-1986（停止执行）</w:t>
                  </w:r>
                </w:p>
              </w:tc>
              <w:tc>
                <w:tcPr>
                  <w:tcW w:w="83" w:type="pct"/>
                  <w:noWrap w:val="0"/>
                  <w:vAlign w:val="center"/>
                </w:tcPr>
                <w:p w14:paraId="127720FC">
                  <w:pPr>
                    <w:widowControl w:val="0"/>
                    <w:jc w:val="both"/>
                    <w:rPr>
                      <w:rFonts w:ascii="Calibri" w:hAnsi="Calibri"/>
                      <w:kern w:val="2"/>
                      <w:sz w:val="21"/>
                      <w:lang w:val="en-US" w:eastAsia="zh-CN" w:bidi="ar-SA"/>
                    </w:rPr>
                  </w:pPr>
                </w:p>
              </w:tc>
            </w:tr>
            <w:tr w14:paraId="70E1801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67CE34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72</w:t>
                  </w:r>
                </w:p>
              </w:tc>
              <w:tc>
                <w:tcPr>
                  <w:tcW w:w="240" w:type="pct"/>
                  <w:noWrap w:val="0"/>
                  <w:vAlign w:val="center"/>
                </w:tcPr>
                <w:p w14:paraId="1CCA55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D1D1FC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BD3D4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5D06485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72A37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18C417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15CDBF1">
                  <w:pPr>
                    <w:widowControl w:val="0"/>
                    <w:jc w:val="both"/>
                    <w:rPr>
                      <w:rFonts w:ascii="Calibri" w:hAnsi="Calibri"/>
                      <w:kern w:val="2"/>
                      <w:sz w:val="21"/>
                      <w:lang w:val="en-US" w:eastAsia="zh-CN" w:bidi="ar-SA"/>
                    </w:rPr>
                  </w:pPr>
                </w:p>
              </w:tc>
              <w:tc>
                <w:tcPr>
                  <w:tcW w:w="0" w:type="auto"/>
                  <w:noWrap w:val="0"/>
                  <w:vAlign w:val="center"/>
                </w:tcPr>
                <w:p w14:paraId="6FE259B5">
                  <w:pPr>
                    <w:widowControl w:val="0"/>
                    <w:jc w:val="both"/>
                    <w:rPr>
                      <w:rFonts w:ascii="Calibri" w:hAnsi="Calibri"/>
                      <w:kern w:val="2"/>
                      <w:sz w:val="21"/>
                      <w:lang w:val="en-US" w:eastAsia="zh-CN" w:bidi="ar-SA"/>
                    </w:rPr>
                  </w:pPr>
                </w:p>
              </w:tc>
              <w:tc>
                <w:tcPr>
                  <w:tcW w:w="0" w:type="auto"/>
                  <w:noWrap w:val="0"/>
                  <w:vAlign w:val="center"/>
                </w:tcPr>
                <w:p w14:paraId="28E6A553">
                  <w:pPr>
                    <w:widowControl w:val="0"/>
                    <w:jc w:val="both"/>
                    <w:rPr>
                      <w:rFonts w:ascii="Calibri" w:hAnsi="Calibri"/>
                      <w:kern w:val="2"/>
                      <w:sz w:val="21"/>
                      <w:lang w:val="en-US" w:eastAsia="zh-CN" w:bidi="ar-SA"/>
                    </w:rPr>
                  </w:pPr>
                </w:p>
              </w:tc>
              <w:tc>
                <w:tcPr>
                  <w:tcW w:w="0" w:type="auto"/>
                  <w:noWrap w:val="0"/>
                  <w:vAlign w:val="center"/>
                </w:tcPr>
                <w:p w14:paraId="491C0416">
                  <w:pPr>
                    <w:widowControl w:val="0"/>
                    <w:jc w:val="both"/>
                    <w:rPr>
                      <w:rFonts w:ascii="Calibri" w:hAnsi="Calibri"/>
                      <w:kern w:val="2"/>
                      <w:sz w:val="21"/>
                      <w:lang w:val="en-US" w:eastAsia="zh-CN" w:bidi="ar-SA"/>
                    </w:rPr>
                  </w:pPr>
                </w:p>
              </w:tc>
              <w:tc>
                <w:tcPr>
                  <w:tcW w:w="0" w:type="auto"/>
                  <w:noWrap w:val="0"/>
                  <w:vAlign w:val="center"/>
                </w:tcPr>
                <w:p w14:paraId="310D3D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0054C5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8E3C3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pH值的测定 玻璃电极法 GB 6920-1986（停止执行）</w:t>
                  </w:r>
                </w:p>
              </w:tc>
              <w:tc>
                <w:tcPr>
                  <w:tcW w:w="83" w:type="pct"/>
                  <w:noWrap w:val="0"/>
                  <w:vAlign w:val="center"/>
                </w:tcPr>
                <w:p w14:paraId="478BEEA3">
                  <w:pPr>
                    <w:widowControl w:val="0"/>
                    <w:jc w:val="both"/>
                    <w:rPr>
                      <w:rFonts w:ascii="Calibri" w:hAnsi="Calibri"/>
                      <w:kern w:val="2"/>
                      <w:sz w:val="21"/>
                      <w:lang w:val="en-US" w:eastAsia="zh-CN" w:bidi="ar-SA"/>
                    </w:rPr>
                  </w:pPr>
                </w:p>
              </w:tc>
            </w:tr>
            <w:tr w14:paraId="7C02BBC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1077B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73</w:t>
                  </w:r>
                </w:p>
              </w:tc>
              <w:tc>
                <w:tcPr>
                  <w:tcW w:w="240" w:type="pct"/>
                  <w:noWrap w:val="0"/>
                  <w:vAlign w:val="center"/>
                </w:tcPr>
                <w:p w14:paraId="71A26A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DCDE48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098C7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14C031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718ADC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w:t>
                  </w:r>
                </w:p>
              </w:tc>
              <w:tc>
                <w:tcPr>
                  <w:tcW w:w="153" w:type="pct"/>
                  <w:noWrap w:val="0"/>
                  <w:vAlign w:val="center"/>
                </w:tcPr>
                <w:p w14:paraId="1C09281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19306BC">
                  <w:pPr>
                    <w:widowControl w:val="0"/>
                    <w:jc w:val="both"/>
                    <w:rPr>
                      <w:rFonts w:ascii="Calibri" w:hAnsi="Calibri"/>
                      <w:kern w:val="2"/>
                      <w:sz w:val="21"/>
                      <w:lang w:val="en-US" w:eastAsia="zh-CN" w:bidi="ar-SA"/>
                    </w:rPr>
                  </w:pPr>
                </w:p>
              </w:tc>
              <w:tc>
                <w:tcPr>
                  <w:tcW w:w="0" w:type="auto"/>
                  <w:noWrap w:val="0"/>
                  <w:vAlign w:val="center"/>
                </w:tcPr>
                <w:p w14:paraId="137641A3">
                  <w:pPr>
                    <w:widowControl w:val="0"/>
                    <w:jc w:val="both"/>
                    <w:rPr>
                      <w:rFonts w:ascii="Calibri" w:hAnsi="Calibri"/>
                      <w:kern w:val="2"/>
                      <w:sz w:val="21"/>
                      <w:lang w:val="en-US" w:eastAsia="zh-CN" w:bidi="ar-SA"/>
                    </w:rPr>
                  </w:pPr>
                </w:p>
              </w:tc>
              <w:tc>
                <w:tcPr>
                  <w:tcW w:w="0" w:type="auto"/>
                  <w:noWrap w:val="0"/>
                  <w:vAlign w:val="center"/>
                </w:tcPr>
                <w:p w14:paraId="00A953FF">
                  <w:pPr>
                    <w:widowControl w:val="0"/>
                    <w:jc w:val="both"/>
                    <w:rPr>
                      <w:rFonts w:ascii="Calibri" w:hAnsi="Calibri"/>
                      <w:kern w:val="2"/>
                      <w:sz w:val="21"/>
                      <w:lang w:val="en-US" w:eastAsia="zh-CN" w:bidi="ar-SA"/>
                    </w:rPr>
                  </w:pPr>
                </w:p>
              </w:tc>
              <w:tc>
                <w:tcPr>
                  <w:tcW w:w="0" w:type="auto"/>
                  <w:noWrap w:val="0"/>
                  <w:vAlign w:val="center"/>
                </w:tcPr>
                <w:p w14:paraId="6E1B2748">
                  <w:pPr>
                    <w:widowControl w:val="0"/>
                    <w:jc w:val="both"/>
                    <w:rPr>
                      <w:rFonts w:ascii="Calibri" w:hAnsi="Calibri"/>
                      <w:kern w:val="2"/>
                      <w:sz w:val="21"/>
                      <w:lang w:val="en-US" w:eastAsia="zh-CN" w:bidi="ar-SA"/>
                    </w:rPr>
                  </w:pPr>
                </w:p>
              </w:tc>
              <w:tc>
                <w:tcPr>
                  <w:tcW w:w="0" w:type="auto"/>
                  <w:noWrap w:val="0"/>
                  <w:vAlign w:val="center"/>
                </w:tcPr>
                <w:p w14:paraId="2461ABE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2C4D0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4C3E3D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pH值的测定 玻璃电极法 GB 6920-1986（停止执行）</w:t>
                  </w:r>
                </w:p>
              </w:tc>
              <w:tc>
                <w:tcPr>
                  <w:tcW w:w="83" w:type="pct"/>
                  <w:noWrap w:val="0"/>
                  <w:vAlign w:val="center"/>
                </w:tcPr>
                <w:p w14:paraId="590D3FF7">
                  <w:pPr>
                    <w:widowControl w:val="0"/>
                    <w:jc w:val="both"/>
                    <w:rPr>
                      <w:rFonts w:ascii="Calibri" w:hAnsi="Calibri"/>
                      <w:kern w:val="2"/>
                      <w:sz w:val="21"/>
                      <w:lang w:val="en-US" w:eastAsia="zh-CN" w:bidi="ar-SA"/>
                    </w:rPr>
                  </w:pPr>
                </w:p>
              </w:tc>
            </w:tr>
            <w:tr w14:paraId="56C0D13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86B6CE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74</w:t>
                  </w:r>
                </w:p>
              </w:tc>
              <w:tc>
                <w:tcPr>
                  <w:tcW w:w="240" w:type="pct"/>
                  <w:noWrap w:val="0"/>
                  <w:vAlign w:val="center"/>
                </w:tcPr>
                <w:p w14:paraId="4173E74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620632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3E791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5FD512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D911B4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溶解性总固体</w:t>
                  </w:r>
                </w:p>
              </w:tc>
              <w:tc>
                <w:tcPr>
                  <w:tcW w:w="153" w:type="pct"/>
                  <w:noWrap w:val="0"/>
                  <w:vAlign w:val="center"/>
                </w:tcPr>
                <w:p w14:paraId="2803313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F4FF86C">
                  <w:pPr>
                    <w:widowControl w:val="0"/>
                    <w:jc w:val="both"/>
                    <w:rPr>
                      <w:rFonts w:ascii="Calibri" w:hAnsi="Calibri"/>
                      <w:kern w:val="2"/>
                      <w:sz w:val="21"/>
                      <w:lang w:val="en-US" w:eastAsia="zh-CN" w:bidi="ar-SA"/>
                    </w:rPr>
                  </w:pPr>
                </w:p>
              </w:tc>
              <w:tc>
                <w:tcPr>
                  <w:tcW w:w="0" w:type="auto"/>
                  <w:noWrap w:val="0"/>
                  <w:vAlign w:val="center"/>
                </w:tcPr>
                <w:p w14:paraId="777C087E">
                  <w:pPr>
                    <w:widowControl w:val="0"/>
                    <w:jc w:val="both"/>
                    <w:rPr>
                      <w:rFonts w:ascii="Calibri" w:hAnsi="Calibri"/>
                      <w:kern w:val="2"/>
                      <w:sz w:val="21"/>
                      <w:lang w:val="en-US" w:eastAsia="zh-CN" w:bidi="ar-SA"/>
                    </w:rPr>
                  </w:pPr>
                </w:p>
              </w:tc>
              <w:tc>
                <w:tcPr>
                  <w:tcW w:w="0" w:type="auto"/>
                  <w:noWrap w:val="0"/>
                  <w:vAlign w:val="center"/>
                </w:tcPr>
                <w:p w14:paraId="358CC234">
                  <w:pPr>
                    <w:widowControl w:val="0"/>
                    <w:jc w:val="both"/>
                    <w:rPr>
                      <w:rFonts w:ascii="Calibri" w:hAnsi="Calibri"/>
                      <w:kern w:val="2"/>
                      <w:sz w:val="21"/>
                      <w:lang w:val="en-US" w:eastAsia="zh-CN" w:bidi="ar-SA"/>
                    </w:rPr>
                  </w:pPr>
                </w:p>
              </w:tc>
              <w:tc>
                <w:tcPr>
                  <w:tcW w:w="0" w:type="auto"/>
                  <w:noWrap w:val="0"/>
                  <w:vAlign w:val="center"/>
                </w:tcPr>
                <w:p w14:paraId="0C9F1747">
                  <w:pPr>
                    <w:widowControl w:val="0"/>
                    <w:jc w:val="both"/>
                    <w:rPr>
                      <w:rFonts w:ascii="Calibri" w:hAnsi="Calibri"/>
                      <w:kern w:val="2"/>
                      <w:sz w:val="21"/>
                      <w:lang w:val="en-US" w:eastAsia="zh-CN" w:bidi="ar-SA"/>
                    </w:rPr>
                  </w:pPr>
                </w:p>
              </w:tc>
              <w:tc>
                <w:tcPr>
                  <w:tcW w:w="0" w:type="auto"/>
                  <w:noWrap w:val="0"/>
                  <w:vAlign w:val="center"/>
                </w:tcPr>
                <w:p w14:paraId="311ADC3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0F8D51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ADD09F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 饮用水标准检验方法 感官性状和物理指标》（8.1 溶解性总固体 称 量法）（GB/T 5750.4-2022）</w:t>
                  </w:r>
                </w:p>
              </w:tc>
              <w:tc>
                <w:tcPr>
                  <w:tcW w:w="83" w:type="pct"/>
                  <w:noWrap w:val="0"/>
                  <w:vAlign w:val="center"/>
                </w:tcPr>
                <w:p w14:paraId="2D2D1817">
                  <w:pPr>
                    <w:widowControl w:val="0"/>
                    <w:jc w:val="both"/>
                    <w:rPr>
                      <w:rFonts w:ascii="Calibri" w:hAnsi="Calibri"/>
                      <w:kern w:val="2"/>
                      <w:sz w:val="21"/>
                      <w:lang w:val="en-US" w:eastAsia="zh-CN" w:bidi="ar-SA"/>
                    </w:rPr>
                  </w:pPr>
                </w:p>
              </w:tc>
            </w:tr>
            <w:tr w14:paraId="53688AF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161221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75</w:t>
                  </w:r>
                </w:p>
              </w:tc>
              <w:tc>
                <w:tcPr>
                  <w:tcW w:w="240" w:type="pct"/>
                  <w:noWrap w:val="0"/>
                  <w:vAlign w:val="center"/>
                </w:tcPr>
                <w:p w14:paraId="061124C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2BD93D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F9B732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411948F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C91DB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溶解性总固体</w:t>
                  </w:r>
                </w:p>
              </w:tc>
              <w:tc>
                <w:tcPr>
                  <w:tcW w:w="153" w:type="pct"/>
                  <w:noWrap w:val="0"/>
                  <w:vAlign w:val="center"/>
                </w:tcPr>
                <w:p w14:paraId="3C1B36D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A954BD3">
                  <w:pPr>
                    <w:widowControl w:val="0"/>
                    <w:jc w:val="both"/>
                    <w:rPr>
                      <w:rFonts w:ascii="Calibri" w:hAnsi="Calibri"/>
                      <w:kern w:val="2"/>
                      <w:sz w:val="21"/>
                      <w:lang w:val="en-US" w:eastAsia="zh-CN" w:bidi="ar-SA"/>
                    </w:rPr>
                  </w:pPr>
                </w:p>
              </w:tc>
              <w:tc>
                <w:tcPr>
                  <w:tcW w:w="0" w:type="auto"/>
                  <w:noWrap w:val="0"/>
                  <w:vAlign w:val="center"/>
                </w:tcPr>
                <w:p w14:paraId="025D8A79">
                  <w:pPr>
                    <w:widowControl w:val="0"/>
                    <w:jc w:val="both"/>
                    <w:rPr>
                      <w:rFonts w:ascii="Calibri" w:hAnsi="Calibri"/>
                      <w:kern w:val="2"/>
                      <w:sz w:val="21"/>
                      <w:lang w:val="en-US" w:eastAsia="zh-CN" w:bidi="ar-SA"/>
                    </w:rPr>
                  </w:pPr>
                </w:p>
              </w:tc>
              <w:tc>
                <w:tcPr>
                  <w:tcW w:w="0" w:type="auto"/>
                  <w:noWrap w:val="0"/>
                  <w:vAlign w:val="center"/>
                </w:tcPr>
                <w:p w14:paraId="4306910D">
                  <w:pPr>
                    <w:widowControl w:val="0"/>
                    <w:jc w:val="both"/>
                    <w:rPr>
                      <w:rFonts w:ascii="Calibri" w:hAnsi="Calibri"/>
                      <w:kern w:val="2"/>
                      <w:sz w:val="21"/>
                      <w:lang w:val="en-US" w:eastAsia="zh-CN" w:bidi="ar-SA"/>
                    </w:rPr>
                  </w:pPr>
                </w:p>
              </w:tc>
              <w:tc>
                <w:tcPr>
                  <w:tcW w:w="0" w:type="auto"/>
                  <w:noWrap w:val="0"/>
                  <w:vAlign w:val="center"/>
                </w:tcPr>
                <w:p w14:paraId="1EE8392E">
                  <w:pPr>
                    <w:widowControl w:val="0"/>
                    <w:jc w:val="both"/>
                    <w:rPr>
                      <w:rFonts w:ascii="Calibri" w:hAnsi="Calibri"/>
                      <w:kern w:val="2"/>
                      <w:sz w:val="21"/>
                      <w:lang w:val="en-US" w:eastAsia="zh-CN" w:bidi="ar-SA"/>
                    </w:rPr>
                  </w:pPr>
                </w:p>
              </w:tc>
              <w:tc>
                <w:tcPr>
                  <w:tcW w:w="0" w:type="auto"/>
                  <w:noWrap w:val="0"/>
                  <w:vAlign w:val="center"/>
                </w:tcPr>
                <w:p w14:paraId="44B219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F2BF2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543178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 饮用水标准检验方法 感官性状和物理指标》（8.1 溶解性总固体 称 量法）（GB/T 5750.4-2022）</w:t>
                  </w:r>
                </w:p>
              </w:tc>
              <w:tc>
                <w:tcPr>
                  <w:tcW w:w="83" w:type="pct"/>
                  <w:noWrap w:val="0"/>
                  <w:vAlign w:val="center"/>
                </w:tcPr>
                <w:p w14:paraId="28468EF6">
                  <w:pPr>
                    <w:widowControl w:val="0"/>
                    <w:jc w:val="both"/>
                    <w:rPr>
                      <w:rFonts w:ascii="Calibri" w:hAnsi="Calibri"/>
                      <w:kern w:val="2"/>
                      <w:sz w:val="21"/>
                      <w:lang w:val="en-US" w:eastAsia="zh-CN" w:bidi="ar-SA"/>
                    </w:rPr>
                  </w:pPr>
                </w:p>
              </w:tc>
            </w:tr>
            <w:tr w14:paraId="2A67C34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6D39B5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76</w:t>
                  </w:r>
                </w:p>
              </w:tc>
              <w:tc>
                <w:tcPr>
                  <w:tcW w:w="240" w:type="pct"/>
                  <w:noWrap w:val="0"/>
                  <w:vAlign w:val="center"/>
                </w:tcPr>
                <w:p w14:paraId="671880A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BB6D5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D54F5D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47F0B3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09921B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溶解性总固体</w:t>
                  </w:r>
                </w:p>
              </w:tc>
              <w:tc>
                <w:tcPr>
                  <w:tcW w:w="153" w:type="pct"/>
                  <w:noWrap w:val="0"/>
                  <w:vAlign w:val="center"/>
                </w:tcPr>
                <w:p w14:paraId="260A81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B920DE0">
                  <w:pPr>
                    <w:widowControl w:val="0"/>
                    <w:jc w:val="both"/>
                    <w:rPr>
                      <w:rFonts w:ascii="Calibri" w:hAnsi="Calibri"/>
                      <w:kern w:val="2"/>
                      <w:sz w:val="21"/>
                      <w:lang w:val="en-US" w:eastAsia="zh-CN" w:bidi="ar-SA"/>
                    </w:rPr>
                  </w:pPr>
                </w:p>
              </w:tc>
              <w:tc>
                <w:tcPr>
                  <w:tcW w:w="0" w:type="auto"/>
                  <w:noWrap w:val="0"/>
                  <w:vAlign w:val="center"/>
                </w:tcPr>
                <w:p w14:paraId="3053626E">
                  <w:pPr>
                    <w:widowControl w:val="0"/>
                    <w:jc w:val="both"/>
                    <w:rPr>
                      <w:rFonts w:ascii="Calibri" w:hAnsi="Calibri"/>
                      <w:kern w:val="2"/>
                      <w:sz w:val="21"/>
                      <w:lang w:val="en-US" w:eastAsia="zh-CN" w:bidi="ar-SA"/>
                    </w:rPr>
                  </w:pPr>
                </w:p>
              </w:tc>
              <w:tc>
                <w:tcPr>
                  <w:tcW w:w="0" w:type="auto"/>
                  <w:noWrap w:val="0"/>
                  <w:vAlign w:val="center"/>
                </w:tcPr>
                <w:p w14:paraId="06005B88">
                  <w:pPr>
                    <w:widowControl w:val="0"/>
                    <w:jc w:val="both"/>
                    <w:rPr>
                      <w:rFonts w:ascii="Calibri" w:hAnsi="Calibri"/>
                      <w:kern w:val="2"/>
                      <w:sz w:val="21"/>
                      <w:lang w:val="en-US" w:eastAsia="zh-CN" w:bidi="ar-SA"/>
                    </w:rPr>
                  </w:pPr>
                </w:p>
              </w:tc>
              <w:tc>
                <w:tcPr>
                  <w:tcW w:w="0" w:type="auto"/>
                  <w:noWrap w:val="0"/>
                  <w:vAlign w:val="center"/>
                </w:tcPr>
                <w:p w14:paraId="1C1A3B96">
                  <w:pPr>
                    <w:widowControl w:val="0"/>
                    <w:jc w:val="both"/>
                    <w:rPr>
                      <w:rFonts w:ascii="Calibri" w:hAnsi="Calibri"/>
                      <w:kern w:val="2"/>
                      <w:sz w:val="21"/>
                      <w:lang w:val="en-US" w:eastAsia="zh-CN" w:bidi="ar-SA"/>
                    </w:rPr>
                  </w:pPr>
                </w:p>
              </w:tc>
              <w:tc>
                <w:tcPr>
                  <w:tcW w:w="0" w:type="auto"/>
                  <w:noWrap w:val="0"/>
                  <w:vAlign w:val="center"/>
                </w:tcPr>
                <w:p w14:paraId="196EC43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5AAFEB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EBEFB6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 饮用水标准检验方法 感官性状和物理指标》（8.1 溶解性总固体 称 量法）（GB/T 5750.4-2022）</w:t>
                  </w:r>
                </w:p>
              </w:tc>
              <w:tc>
                <w:tcPr>
                  <w:tcW w:w="83" w:type="pct"/>
                  <w:noWrap w:val="0"/>
                  <w:vAlign w:val="center"/>
                </w:tcPr>
                <w:p w14:paraId="316A0B73">
                  <w:pPr>
                    <w:widowControl w:val="0"/>
                    <w:jc w:val="both"/>
                    <w:rPr>
                      <w:rFonts w:ascii="Calibri" w:hAnsi="Calibri"/>
                      <w:kern w:val="2"/>
                      <w:sz w:val="21"/>
                      <w:lang w:val="en-US" w:eastAsia="zh-CN" w:bidi="ar-SA"/>
                    </w:rPr>
                  </w:pPr>
                </w:p>
              </w:tc>
            </w:tr>
            <w:tr w14:paraId="6EF6668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420804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77</w:t>
                  </w:r>
                </w:p>
              </w:tc>
              <w:tc>
                <w:tcPr>
                  <w:tcW w:w="240" w:type="pct"/>
                  <w:noWrap w:val="0"/>
                  <w:vAlign w:val="center"/>
                </w:tcPr>
                <w:p w14:paraId="6EF7140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DA5D6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182242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327225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322A5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总硬度</w:t>
                  </w:r>
                </w:p>
              </w:tc>
              <w:tc>
                <w:tcPr>
                  <w:tcW w:w="153" w:type="pct"/>
                  <w:noWrap w:val="0"/>
                  <w:vAlign w:val="center"/>
                </w:tcPr>
                <w:p w14:paraId="2A14B1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9ABCFCD">
                  <w:pPr>
                    <w:widowControl w:val="0"/>
                    <w:jc w:val="both"/>
                    <w:rPr>
                      <w:rFonts w:ascii="Calibri" w:hAnsi="Calibri"/>
                      <w:kern w:val="2"/>
                      <w:sz w:val="21"/>
                      <w:lang w:val="en-US" w:eastAsia="zh-CN" w:bidi="ar-SA"/>
                    </w:rPr>
                  </w:pPr>
                </w:p>
              </w:tc>
              <w:tc>
                <w:tcPr>
                  <w:tcW w:w="0" w:type="auto"/>
                  <w:noWrap w:val="0"/>
                  <w:vAlign w:val="center"/>
                </w:tcPr>
                <w:p w14:paraId="3E074A87">
                  <w:pPr>
                    <w:widowControl w:val="0"/>
                    <w:jc w:val="both"/>
                    <w:rPr>
                      <w:rFonts w:ascii="Calibri" w:hAnsi="Calibri"/>
                      <w:kern w:val="2"/>
                      <w:sz w:val="21"/>
                      <w:lang w:val="en-US" w:eastAsia="zh-CN" w:bidi="ar-SA"/>
                    </w:rPr>
                  </w:pPr>
                </w:p>
              </w:tc>
              <w:tc>
                <w:tcPr>
                  <w:tcW w:w="0" w:type="auto"/>
                  <w:noWrap w:val="0"/>
                  <w:vAlign w:val="center"/>
                </w:tcPr>
                <w:p w14:paraId="38DD6464">
                  <w:pPr>
                    <w:widowControl w:val="0"/>
                    <w:jc w:val="both"/>
                    <w:rPr>
                      <w:rFonts w:ascii="Calibri" w:hAnsi="Calibri"/>
                      <w:kern w:val="2"/>
                      <w:sz w:val="21"/>
                      <w:lang w:val="en-US" w:eastAsia="zh-CN" w:bidi="ar-SA"/>
                    </w:rPr>
                  </w:pPr>
                </w:p>
              </w:tc>
              <w:tc>
                <w:tcPr>
                  <w:tcW w:w="0" w:type="auto"/>
                  <w:noWrap w:val="0"/>
                  <w:vAlign w:val="center"/>
                </w:tcPr>
                <w:p w14:paraId="654E654F">
                  <w:pPr>
                    <w:widowControl w:val="0"/>
                    <w:jc w:val="both"/>
                    <w:rPr>
                      <w:rFonts w:ascii="Calibri" w:hAnsi="Calibri"/>
                      <w:kern w:val="2"/>
                      <w:sz w:val="21"/>
                      <w:lang w:val="en-US" w:eastAsia="zh-CN" w:bidi="ar-SA"/>
                    </w:rPr>
                  </w:pPr>
                </w:p>
              </w:tc>
              <w:tc>
                <w:tcPr>
                  <w:tcW w:w="0" w:type="auto"/>
                  <w:noWrap w:val="0"/>
                  <w:vAlign w:val="center"/>
                </w:tcPr>
                <w:p w14:paraId="3DEAF2B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D7B87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B6E66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感 官性状和物理指标》（7.1 总硬度 乙二胺四乙酸二钠滴定法）（GB/T 5750.4-2022）</w:t>
                  </w:r>
                </w:p>
              </w:tc>
              <w:tc>
                <w:tcPr>
                  <w:tcW w:w="83" w:type="pct"/>
                  <w:noWrap w:val="0"/>
                  <w:vAlign w:val="center"/>
                </w:tcPr>
                <w:p w14:paraId="32533CC7">
                  <w:pPr>
                    <w:widowControl w:val="0"/>
                    <w:jc w:val="both"/>
                    <w:rPr>
                      <w:rFonts w:ascii="Calibri" w:hAnsi="Calibri"/>
                      <w:kern w:val="2"/>
                      <w:sz w:val="21"/>
                      <w:lang w:val="en-US" w:eastAsia="zh-CN" w:bidi="ar-SA"/>
                    </w:rPr>
                  </w:pPr>
                </w:p>
              </w:tc>
            </w:tr>
            <w:tr w14:paraId="29EC6A7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24D65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78</w:t>
                  </w:r>
                </w:p>
              </w:tc>
              <w:tc>
                <w:tcPr>
                  <w:tcW w:w="240" w:type="pct"/>
                  <w:noWrap w:val="0"/>
                  <w:vAlign w:val="center"/>
                </w:tcPr>
                <w:p w14:paraId="7F68E3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B7CB2D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582268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0CA020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7F8756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总硬度</w:t>
                  </w:r>
                </w:p>
              </w:tc>
              <w:tc>
                <w:tcPr>
                  <w:tcW w:w="153" w:type="pct"/>
                  <w:noWrap w:val="0"/>
                  <w:vAlign w:val="center"/>
                </w:tcPr>
                <w:p w14:paraId="11EA4C7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4D71B80">
                  <w:pPr>
                    <w:widowControl w:val="0"/>
                    <w:jc w:val="both"/>
                    <w:rPr>
                      <w:rFonts w:ascii="Calibri" w:hAnsi="Calibri"/>
                      <w:kern w:val="2"/>
                      <w:sz w:val="21"/>
                      <w:lang w:val="en-US" w:eastAsia="zh-CN" w:bidi="ar-SA"/>
                    </w:rPr>
                  </w:pPr>
                </w:p>
              </w:tc>
              <w:tc>
                <w:tcPr>
                  <w:tcW w:w="0" w:type="auto"/>
                  <w:noWrap w:val="0"/>
                  <w:vAlign w:val="center"/>
                </w:tcPr>
                <w:p w14:paraId="53AA4EA6">
                  <w:pPr>
                    <w:widowControl w:val="0"/>
                    <w:jc w:val="both"/>
                    <w:rPr>
                      <w:rFonts w:ascii="Calibri" w:hAnsi="Calibri"/>
                      <w:kern w:val="2"/>
                      <w:sz w:val="21"/>
                      <w:lang w:val="en-US" w:eastAsia="zh-CN" w:bidi="ar-SA"/>
                    </w:rPr>
                  </w:pPr>
                </w:p>
              </w:tc>
              <w:tc>
                <w:tcPr>
                  <w:tcW w:w="0" w:type="auto"/>
                  <w:noWrap w:val="0"/>
                  <w:vAlign w:val="center"/>
                </w:tcPr>
                <w:p w14:paraId="3325DDD8">
                  <w:pPr>
                    <w:widowControl w:val="0"/>
                    <w:jc w:val="both"/>
                    <w:rPr>
                      <w:rFonts w:ascii="Calibri" w:hAnsi="Calibri"/>
                      <w:kern w:val="2"/>
                      <w:sz w:val="21"/>
                      <w:lang w:val="en-US" w:eastAsia="zh-CN" w:bidi="ar-SA"/>
                    </w:rPr>
                  </w:pPr>
                </w:p>
              </w:tc>
              <w:tc>
                <w:tcPr>
                  <w:tcW w:w="0" w:type="auto"/>
                  <w:noWrap w:val="0"/>
                  <w:vAlign w:val="center"/>
                </w:tcPr>
                <w:p w14:paraId="3FC88795">
                  <w:pPr>
                    <w:widowControl w:val="0"/>
                    <w:jc w:val="both"/>
                    <w:rPr>
                      <w:rFonts w:ascii="Calibri" w:hAnsi="Calibri"/>
                      <w:kern w:val="2"/>
                      <w:sz w:val="21"/>
                      <w:lang w:val="en-US" w:eastAsia="zh-CN" w:bidi="ar-SA"/>
                    </w:rPr>
                  </w:pPr>
                </w:p>
              </w:tc>
              <w:tc>
                <w:tcPr>
                  <w:tcW w:w="0" w:type="auto"/>
                  <w:noWrap w:val="0"/>
                  <w:vAlign w:val="center"/>
                </w:tcPr>
                <w:p w14:paraId="01012D8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1ABC98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64922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感 官性状和物理指标》（7.1 总硬度 乙二胺四乙酸二钠滴定法）（GB/T 5750.4-2022）</w:t>
                  </w:r>
                </w:p>
              </w:tc>
              <w:tc>
                <w:tcPr>
                  <w:tcW w:w="83" w:type="pct"/>
                  <w:noWrap w:val="0"/>
                  <w:vAlign w:val="center"/>
                </w:tcPr>
                <w:p w14:paraId="2A1BEE7A">
                  <w:pPr>
                    <w:widowControl w:val="0"/>
                    <w:jc w:val="both"/>
                    <w:rPr>
                      <w:rFonts w:ascii="Calibri" w:hAnsi="Calibri"/>
                      <w:kern w:val="2"/>
                      <w:sz w:val="21"/>
                      <w:lang w:val="en-US" w:eastAsia="zh-CN" w:bidi="ar-SA"/>
                    </w:rPr>
                  </w:pPr>
                </w:p>
              </w:tc>
            </w:tr>
            <w:tr w14:paraId="27AEE80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52453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79</w:t>
                  </w:r>
                </w:p>
              </w:tc>
              <w:tc>
                <w:tcPr>
                  <w:tcW w:w="240" w:type="pct"/>
                  <w:noWrap w:val="0"/>
                  <w:vAlign w:val="center"/>
                </w:tcPr>
                <w:p w14:paraId="57CCE94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B6CC26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DC352B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66518F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538EB4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总硬度</w:t>
                  </w:r>
                </w:p>
              </w:tc>
              <w:tc>
                <w:tcPr>
                  <w:tcW w:w="153" w:type="pct"/>
                  <w:noWrap w:val="0"/>
                  <w:vAlign w:val="center"/>
                </w:tcPr>
                <w:p w14:paraId="4E772F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1E67FA2">
                  <w:pPr>
                    <w:widowControl w:val="0"/>
                    <w:jc w:val="both"/>
                    <w:rPr>
                      <w:rFonts w:ascii="Calibri" w:hAnsi="Calibri"/>
                      <w:kern w:val="2"/>
                      <w:sz w:val="21"/>
                      <w:lang w:val="en-US" w:eastAsia="zh-CN" w:bidi="ar-SA"/>
                    </w:rPr>
                  </w:pPr>
                </w:p>
              </w:tc>
              <w:tc>
                <w:tcPr>
                  <w:tcW w:w="0" w:type="auto"/>
                  <w:noWrap w:val="0"/>
                  <w:vAlign w:val="center"/>
                </w:tcPr>
                <w:p w14:paraId="760B3C30">
                  <w:pPr>
                    <w:widowControl w:val="0"/>
                    <w:jc w:val="both"/>
                    <w:rPr>
                      <w:rFonts w:ascii="Calibri" w:hAnsi="Calibri"/>
                      <w:kern w:val="2"/>
                      <w:sz w:val="21"/>
                      <w:lang w:val="en-US" w:eastAsia="zh-CN" w:bidi="ar-SA"/>
                    </w:rPr>
                  </w:pPr>
                </w:p>
              </w:tc>
              <w:tc>
                <w:tcPr>
                  <w:tcW w:w="0" w:type="auto"/>
                  <w:noWrap w:val="0"/>
                  <w:vAlign w:val="center"/>
                </w:tcPr>
                <w:p w14:paraId="5779D1A0">
                  <w:pPr>
                    <w:widowControl w:val="0"/>
                    <w:jc w:val="both"/>
                    <w:rPr>
                      <w:rFonts w:ascii="Calibri" w:hAnsi="Calibri"/>
                      <w:kern w:val="2"/>
                      <w:sz w:val="21"/>
                      <w:lang w:val="en-US" w:eastAsia="zh-CN" w:bidi="ar-SA"/>
                    </w:rPr>
                  </w:pPr>
                </w:p>
              </w:tc>
              <w:tc>
                <w:tcPr>
                  <w:tcW w:w="0" w:type="auto"/>
                  <w:noWrap w:val="0"/>
                  <w:vAlign w:val="center"/>
                </w:tcPr>
                <w:p w14:paraId="179A94A9">
                  <w:pPr>
                    <w:widowControl w:val="0"/>
                    <w:jc w:val="both"/>
                    <w:rPr>
                      <w:rFonts w:ascii="Calibri" w:hAnsi="Calibri"/>
                      <w:kern w:val="2"/>
                      <w:sz w:val="21"/>
                      <w:lang w:val="en-US" w:eastAsia="zh-CN" w:bidi="ar-SA"/>
                    </w:rPr>
                  </w:pPr>
                </w:p>
              </w:tc>
              <w:tc>
                <w:tcPr>
                  <w:tcW w:w="0" w:type="auto"/>
                  <w:noWrap w:val="0"/>
                  <w:vAlign w:val="center"/>
                </w:tcPr>
                <w:p w14:paraId="1F8D9B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27A64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A22B5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感 官性状和物理指标》（7.1 总硬度 乙二胺四乙酸二钠滴定法）（GB/T 5750.4-2022）</w:t>
                  </w:r>
                </w:p>
              </w:tc>
              <w:tc>
                <w:tcPr>
                  <w:tcW w:w="83" w:type="pct"/>
                  <w:noWrap w:val="0"/>
                  <w:vAlign w:val="center"/>
                </w:tcPr>
                <w:p w14:paraId="45233E80">
                  <w:pPr>
                    <w:widowControl w:val="0"/>
                    <w:jc w:val="both"/>
                    <w:rPr>
                      <w:rFonts w:ascii="Calibri" w:hAnsi="Calibri"/>
                      <w:kern w:val="2"/>
                      <w:sz w:val="21"/>
                      <w:lang w:val="en-US" w:eastAsia="zh-CN" w:bidi="ar-SA"/>
                    </w:rPr>
                  </w:pPr>
                </w:p>
              </w:tc>
            </w:tr>
            <w:tr w14:paraId="31683B2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6E98EC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80</w:t>
                  </w:r>
                </w:p>
              </w:tc>
              <w:tc>
                <w:tcPr>
                  <w:tcW w:w="240" w:type="pct"/>
                  <w:noWrap w:val="0"/>
                  <w:vAlign w:val="center"/>
                </w:tcPr>
                <w:p w14:paraId="7356487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D4A98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9A556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7A5BE24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412CF1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w:t>
                  </w:r>
                </w:p>
              </w:tc>
              <w:tc>
                <w:tcPr>
                  <w:tcW w:w="153" w:type="pct"/>
                  <w:noWrap w:val="0"/>
                  <w:vAlign w:val="center"/>
                </w:tcPr>
                <w:p w14:paraId="13BBE4C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FD3770C">
                  <w:pPr>
                    <w:widowControl w:val="0"/>
                    <w:jc w:val="both"/>
                    <w:rPr>
                      <w:rFonts w:ascii="Calibri" w:hAnsi="Calibri"/>
                      <w:kern w:val="2"/>
                      <w:sz w:val="21"/>
                      <w:lang w:val="en-US" w:eastAsia="zh-CN" w:bidi="ar-SA"/>
                    </w:rPr>
                  </w:pPr>
                </w:p>
              </w:tc>
              <w:tc>
                <w:tcPr>
                  <w:tcW w:w="0" w:type="auto"/>
                  <w:noWrap w:val="0"/>
                  <w:vAlign w:val="center"/>
                </w:tcPr>
                <w:p w14:paraId="7DF70C48">
                  <w:pPr>
                    <w:widowControl w:val="0"/>
                    <w:jc w:val="both"/>
                    <w:rPr>
                      <w:rFonts w:ascii="Calibri" w:hAnsi="Calibri"/>
                      <w:kern w:val="2"/>
                      <w:sz w:val="21"/>
                      <w:lang w:val="en-US" w:eastAsia="zh-CN" w:bidi="ar-SA"/>
                    </w:rPr>
                  </w:pPr>
                </w:p>
              </w:tc>
              <w:tc>
                <w:tcPr>
                  <w:tcW w:w="0" w:type="auto"/>
                  <w:noWrap w:val="0"/>
                  <w:vAlign w:val="center"/>
                </w:tcPr>
                <w:p w14:paraId="5FA3DCE2">
                  <w:pPr>
                    <w:widowControl w:val="0"/>
                    <w:jc w:val="both"/>
                    <w:rPr>
                      <w:rFonts w:ascii="Calibri" w:hAnsi="Calibri"/>
                      <w:kern w:val="2"/>
                      <w:sz w:val="21"/>
                      <w:lang w:val="en-US" w:eastAsia="zh-CN" w:bidi="ar-SA"/>
                    </w:rPr>
                  </w:pPr>
                </w:p>
              </w:tc>
              <w:tc>
                <w:tcPr>
                  <w:tcW w:w="0" w:type="auto"/>
                  <w:noWrap w:val="0"/>
                  <w:vAlign w:val="center"/>
                </w:tcPr>
                <w:p w14:paraId="1B3C816E">
                  <w:pPr>
                    <w:widowControl w:val="0"/>
                    <w:jc w:val="both"/>
                    <w:rPr>
                      <w:rFonts w:ascii="Calibri" w:hAnsi="Calibri"/>
                      <w:kern w:val="2"/>
                      <w:sz w:val="21"/>
                      <w:lang w:val="en-US" w:eastAsia="zh-CN" w:bidi="ar-SA"/>
                    </w:rPr>
                  </w:pPr>
                </w:p>
              </w:tc>
              <w:tc>
                <w:tcPr>
                  <w:tcW w:w="0" w:type="auto"/>
                  <w:noWrap w:val="0"/>
                  <w:vAlign w:val="center"/>
                </w:tcPr>
                <w:p w14:paraId="4135833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881BF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794D8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DZ/T 0060.1-2023《地下水动态监测规程 第1部分：水位监测》</w:t>
                  </w:r>
                </w:p>
              </w:tc>
              <w:tc>
                <w:tcPr>
                  <w:tcW w:w="83" w:type="pct"/>
                  <w:noWrap w:val="0"/>
                  <w:vAlign w:val="center"/>
                </w:tcPr>
                <w:p w14:paraId="35B900DF">
                  <w:pPr>
                    <w:widowControl w:val="0"/>
                    <w:jc w:val="both"/>
                    <w:rPr>
                      <w:rFonts w:ascii="Calibri" w:hAnsi="Calibri"/>
                      <w:kern w:val="2"/>
                      <w:sz w:val="21"/>
                      <w:lang w:val="en-US" w:eastAsia="zh-CN" w:bidi="ar-SA"/>
                    </w:rPr>
                  </w:pPr>
                </w:p>
              </w:tc>
            </w:tr>
            <w:tr w14:paraId="1FCEAA3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E7938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81</w:t>
                  </w:r>
                </w:p>
              </w:tc>
              <w:tc>
                <w:tcPr>
                  <w:tcW w:w="240" w:type="pct"/>
                  <w:noWrap w:val="0"/>
                  <w:vAlign w:val="center"/>
                </w:tcPr>
                <w:p w14:paraId="55DBF8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149240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14DF4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102C1C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7F834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w:t>
                  </w:r>
                </w:p>
              </w:tc>
              <w:tc>
                <w:tcPr>
                  <w:tcW w:w="153" w:type="pct"/>
                  <w:noWrap w:val="0"/>
                  <w:vAlign w:val="center"/>
                </w:tcPr>
                <w:p w14:paraId="46F4478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C012DD2">
                  <w:pPr>
                    <w:widowControl w:val="0"/>
                    <w:jc w:val="both"/>
                    <w:rPr>
                      <w:rFonts w:ascii="Calibri" w:hAnsi="Calibri"/>
                      <w:kern w:val="2"/>
                      <w:sz w:val="21"/>
                      <w:lang w:val="en-US" w:eastAsia="zh-CN" w:bidi="ar-SA"/>
                    </w:rPr>
                  </w:pPr>
                </w:p>
              </w:tc>
              <w:tc>
                <w:tcPr>
                  <w:tcW w:w="0" w:type="auto"/>
                  <w:noWrap w:val="0"/>
                  <w:vAlign w:val="center"/>
                </w:tcPr>
                <w:p w14:paraId="52E694CC">
                  <w:pPr>
                    <w:widowControl w:val="0"/>
                    <w:jc w:val="both"/>
                    <w:rPr>
                      <w:rFonts w:ascii="Calibri" w:hAnsi="Calibri"/>
                      <w:kern w:val="2"/>
                      <w:sz w:val="21"/>
                      <w:lang w:val="en-US" w:eastAsia="zh-CN" w:bidi="ar-SA"/>
                    </w:rPr>
                  </w:pPr>
                </w:p>
              </w:tc>
              <w:tc>
                <w:tcPr>
                  <w:tcW w:w="0" w:type="auto"/>
                  <w:noWrap w:val="0"/>
                  <w:vAlign w:val="center"/>
                </w:tcPr>
                <w:p w14:paraId="595A52D5">
                  <w:pPr>
                    <w:widowControl w:val="0"/>
                    <w:jc w:val="both"/>
                    <w:rPr>
                      <w:rFonts w:ascii="Calibri" w:hAnsi="Calibri"/>
                      <w:kern w:val="2"/>
                      <w:sz w:val="21"/>
                      <w:lang w:val="en-US" w:eastAsia="zh-CN" w:bidi="ar-SA"/>
                    </w:rPr>
                  </w:pPr>
                </w:p>
              </w:tc>
              <w:tc>
                <w:tcPr>
                  <w:tcW w:w="0" w:type="auto"/>
                  <w:noWrap w:val="0"/>
                  <w:vAlign w:val="center"/>
                </w:tcPr>
                <w:p w14:paraId="5CAAB013">
                  <w:pPr>
                    <w:widowControl w:val="0"/>
                    <w:jc w:val="both"/>
                    <w:rPr>
                      <w:rFonts w:ascii="Calibri" w:hAnsi="Calibri"/>
                      <w:kern w:val="2"/>
                      <w:sz w:val="21"/>
                      <w:lang w:val="en-US" w:eastAsia="zh-CN" w:bidi="ar-SA"/>
                    </w:rPr>
                  </w:pPr>
                </w:p>
              </w:tc>
              <w:tc>
                <w:tcPr>
                  <w:tcW w:w="0" w:type="auto"/>
                  <w:noWrap w:val="0"/>
                  <w:vAlign w:val="center"/>
                </w:tcPr>
                <w:p w14:paraId="3CC9788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581201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56780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 xml:space="preserve">DZ/T 0060.1-2023《地下水动态监测规程 第1部分：水位监测》 </w:t>
                  </w:r>
                </w:p>
              </w:tc>
              <w:tc>
                <w:tcPr>
                  <w:tcW w:w="83" w:type="pct"/>
                  <w:noWrap w:val="0"/>
                  <w:vAlign w:val="center"/>
                </w:tcPr>
                <w:p w14:paraId="1F604DEC">
                  <w:pPr>
                    <w:widowControl w:val="0"/>
                    <w:jc w:val="both"/>
                    <w:rPr>
                      <w:rFonts w:ascii="Calibri" w:hAnsi="Calibri"/>
                      <w:kern w:val="2"/>
                      <w:sz w:val="21"/>
                      <w:lang w:val="en-US" w:eastAsia="zh-CN" w:bidi="ar-SA"/>
                    </w:rPr>
                  </w:pPr>
                </w:p>
              </w:tc>
            </w:tr>
            <w:tr w14:paraId="18198D1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CE8E28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82</w:t>
                  </w:r>
                </w:p>
              </w:tc>
              <w:tc>
                <w:tcPr>
                  <w:tcW w:w="240" w:type="pct"/>
                  <w:noWrap w:val="0"/>
                  <w:vAlign w:val="center"/>
                </w:tcPr>
                <w:p w14:paraId="509E4E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AFCFCB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FBF9C5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0F71008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19B8E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w:t>
                  </w:r>
                </w:p>
              </w:tc>
              <w:tc>
                <w:tcPr>
                  <w:tcW w:w="153" w:type="pct"/>
                  <w:noWrap w:val="0"/>
                  <w:vAlign w:val="center"/>
                </w:tcPr>
                <w:p w14:paraId="10ED04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2299B00">
                  <w:pPr>
                    <w:widowControl w:val="0"/>
                    <w:jc w:val="both"/>
                    <w:rPr>
                      <w:rFonts w:ascii="Calibri" w:hAnsi="Calibri"/>
                      <w:kern w:val="2"/>
                      <w:sz w:val="21"/>
                      <w:lang w:val="en-US" w:eastAsia="zh-CN" w:bidi="ar-SA"/>
                    </w:rPr>
                  </w:pPr>
                </w:p>
              </w:tc>
              <w:tc>
                <w:tcPr>
                  <w:tcW w:w="0" w:type="auto"/>
                  <w:noWrap w:val="0"/>
                  <w:vAlign w:val="center"/>
                </w:tcPr>
                <w:p w14:paraId="71227A36">
                  <w:pPr>
                    <w:widowControl w:val="0"/>
                    <w:jc w:val="both"/>
                    <w:rPr>
                      <w:rFonts w:ascii="Calibri" w:hAnsi="Calibri"/>
                      <w:kern w:val="2"/>
                      <w:sz w:val="21"/>
                      <w:lang w:val="en-US" w:eastAsia="zh-CN" w:bidi="ar-SA"/>
                    </w:rPr>
                  </w:pPr>
                </w:p>
              </w:tc>
              <w:tc>
                <w:tcPr>
                  <w:tcW w:w="0" w:type="auto"/>
                  <w:noWrap w:val="0"/>
                  <w:vAlign w:val="center"/>
                </w:tcPr>
                <w:p w14:paraId="764D0625">
                  <w:pPr>
                    <w:widowControl w:val="0"/>
                    <w:jc w:val="both"/>
                    <w:rPr>
                      <w:rFonts w:ascii="Calibri" w:hAnsi="Calibri"/>
                      <w:kern w:val="2"/>
                      <w:sz w:val="21"/>
                      <w:lang w:val="en-US" w:eastAsia="zh-CN" w:bidi="ar-SA"/>
                    </w:rPr>
                  </w:pPr>
                </w:p>
              </w:tc>
              <w:tc>
                <w:tcPr>
                  <w:tcW w:w="0" w:type="auto"/>
                  <w:noWrap w:val="0"/>
                  <w:vAlign w:val="center"/>
                </w:tcPr>
                <w:p w14:paraId="403C7409">
                  <w:pPr>
                    <w:widowControl w:val="0"/>
                    <w:jc w:val="both"/>
                    <w:rPr>
                      <w:rFonts w:ascii="Calibri" w:hAnsi="Calibri"/>
                      <w:kern w:val="2"/>
                      <w:sz w:val="21"/>
                      <w:lang w:val="en-US" w:eastAsia="zh-CN" w:bidi="ar-SA"/>
                    </w:rPr>
                  </w:pPr>
                </w:p>
              </w:tc>
              <w:tc>
                <w:tcPr>
                  <w:tcW w:w="0" w:type="auto"/>
                  <w:noWrap w:val="0"/>
                  <w:vAlign w:val="center"/>
                </w:tcPr>
                <w:p w14:paraId="16DDA8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ADFAE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2D698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DZ/T 0060.1-2023《地下水动态监测规程 第1部分：水位监测》</w:t>
                  </w:r>
                </w:p>
              </w:tc>
              <w:tc>
                <w:tcPr>
                  <w:tcW w:w="83" w:type="pct"/>
                  <w:noWrap w:val="0"/>
                  <w:vAlign w:val="center"/>
                </w:tcPr>
                <w:p w14:paraId="5358A9DD">
                  <w:pPr>
                    <w:widowControl w:val="0"/>
                    <w:jc w:val="both"/>
                    <w:rPr>
                      <w:rFonts w:ascii="Calibri" w:hAnsi="Calibri"/>
                      <w:kern w:val="2"/>
                      <w:sz w:val="21"/>
                      <w:lang w:val="en-US" w:eastAsia="zh-CN" w:bidi="ar-SA"/>
                    </w:rPr>
                  </w:pPr>
                </w:p>
              </w:tc>
            </w:tr>
            <w:tr w14:paraId="71D9F9A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2B0AD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83</w:t>
                  </w:r>
                </w:p>
              </w:tc>
              <w:tc>
                <w:tcPr>
                  <w:tcW w:w="240" w:type="pct"/>
                  <w:noWrap w:val="0"/>
                  <w:vAlign w:val="center"/>
                </w:tcPr>
                <w:p w14:paraId="467904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C8F23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018674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5B80A3C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385F25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0EC2CB4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C544232">
                  <w:pPr>
                    <w:widowControl w:val="0"/>
                    <w:jc w:val="both"/>
                    <w:rPr>
                      <w:rFonts w:ascii="Calibri" w:hAnsi="Calibri"/>
                      <w:kern w:val="2"/>
                      <w:sz w:val="21"/>
                      <w:lang w:val="en-US" w:eastAsia="zh-CN" w:bidi="ar-SA"/>
                    </w:rPr>
                  </w:pPr>
                </w:p>
              </w:tc>
              <w:tc>
                <w:tcPr>
                  <w:tcW w:w="0" w:type="auto"/>
                  <w:noWrap w:val="0"/>
                  <w:vAlign w:val="center"/>
                </w:tcPr>
                <w:p w14:paraId="61985678">
                  <w:pPr>
                    <w:widowControl w:val="0"/>
                    <w:jc w:val="both"/>
                    <w:rPr>
                      <w:rFonts w:ascii="Calibri" w:hAnsi="Calibri"/>
                      <w:kern w:val="2"/>
                      <w:sz w:val="21"/>
                      <w:lang w:val="en-US" w:eastAsia="zh-CN" w:bidi="ar-SA"/>
                    </w:rPr>
                  </w:pPr>
                </w:p>
              </w:tc>
              <w:tc>
                <w:tcPr>
                  <w:tcW w:w="0" w:type="auto"/>
                  <w:noWrap w:val="0"/>
                  <w:vAlign w:val="center"/>
                </w:tcPr>
                <w:p w14:paraId="5109B0F4">
                  <w:pPr>
                    <w:widowControl w:val="0"/>
                    <w:jc w:val="both"/>
                    <w:rPr>
                      <w:rFonts w:ascii="Calibri" w:hAnsi="Calibri"/>
                      <w:kern w:val="2"/>
                      <w:sz w:val="21"/>
                      <w:lang w:val="en-US" w:eastAsia="zh-CN" w:bidi="ar-SA"/>
                    </w:rPr>
                  </w:pPr>
                </w:p>
              </w:tc>
              <w:tc>
                <w:tcPr>
                  <w:tcW w:w="0" w:type="auto"/>
                  <w:noWrap w:val="0"/>
                  <w:vAlign w:val="center"/>
                </w:tcPr>
                <w:p w14:paraId="444DE238">
                  <w:pPr>
                    <w:widowControl w:val="0"/>
                    <w:jc w:val="both"/>
                    <w:rPr>
                      <w:rFonts w:ascii="Calibri" w:hAnsi="Calibri"/>
                      <w:kern w:val="2"/>
                      <w:sz w:val="21"/>
                      <w:lang w:val="en-US" w:eastAsia="zh-CN" w:bidi="ar-SA"/>
                    </w:rPr>
                  </w:pPr>
                </w:p>
              </w:tc>
              <w:tc>
                <w:tcPr>
                  <w:tcW w:w="0" w:type="auto"/>
                  <w:noWrap w:val="0"/>
                  <w:vAlign w:val="center"/>
                </w:tcPr>
                <w:p w14:paraId="71E3717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4E9C9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A89AFB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无 机非金属指标》（8.1 硼 甲亚胺-H 分光光度法）（GB/T 5750.5-2022）</w:t>
                  </w:r>
                </w:p>
              </w:tc>
              <w:tc>
                <w:tcPr>
                  <w:tcW w:w="83" w:type="pct"/>
                  <w:noWrap w:val="0"/>
                  <w:vAlign w:val="center"/>
                </w:tcPr>
                <w:p w14:paraId="2F592996">
                  <w:pPr>
                    <w:widowControl w:val="0"/>
                    <w:jc w:val="both"/>
                    <w:rPr>
                      <w:rFonts w:ascii="Calibri" w:hAnsi="Calibri"/>
                      <w:kern w:val="2"/>
                      <w:sz w:val="21"/>
                      <w:lang w:val="en-US" w:eastAsia="zh-CN" w:bidi="ar-SA"/>
                    </w:rPr>
                  </w:pPr>
                </w:p>
              </w:tc>
            </w:tr>
            <w:tr w14:paraId="60807E2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E1D589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84</w:t>
                  </w:r>
                </w:p>
              </w:tc>
              <w:tc>
                <w:tcPr>
                  <w:tcW w:w="240" w:type="pct"/>
                  <w:noWrap w:val="0"/>
                  <w:vAlign w:val="center"/>
                </w:tcPr>
                <w:p w14:paraId="7286F5A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96E197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EFDE84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CE154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120D5C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62C04A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EE48CD6">
                  <w:pPr>
                    <w:widowControl w:val="0"/>
                    <w:jc w:val="both"/>
                    <w:rPr>
                      <w:rFonts w:ascii="Calibri" w:hAnsi="Calibri"/>
                      <w:kern w:val="2"/>
                      <w:sz w:val="21"/>
                      <w:lang w:val="en-US" w:eastAsia="zh-CN" w:bidi="ar-SA"/>
                    </w:rPr>
                  </w:pPr>
                </w:p>
              </w:tc>
              <w:tc>
                <w:tcPr>
                  <w:tcW w:w="0" w:type="auto"/>
                  <w:noWrap w:val="0"/>
                  <w:vAlign w:val="center"/>
                </w:tcPr>
                <w:p w14:paraId="0E66194F">
                  <w:pPr>
                    <w:widowControl w:val="0"/>
                    <w:jc w:val="both"/>
                    <w:rPr>
                      <w:rFonts w:ascii="Calibri" w:hAnsi="Calibri"/>
                      <w:kern w:val="2"/>
                      <w:sz w:val="21"/>
                      <w:lang w:val="en-US" w:eastAsia="zh-CN" w:bidi="ar-SA"/>
                    </w:rPr>
                  </w:pPr>
                </w:p>
              </w:tc>
              <w:tc>
                <w:tcPr>
                  <w:tcW w:w="0" w:type="auto"/>
                  <w:noWrap w:val="0"/>
                  <w:vAlign w:val="center"/>
                </w:tcPr>
                <w:p w14:paraId="3366EE23">
                  <w:pPr>
                    <w:widowControl w:val="0"/>
                    <w:jc w:val="both"/>
                    <w:rPr>
                      <w:rFonts w:ascii="Calibri" w:hAnsi="Calibri"/>
                      <w:kern w:val="2"/>
                      <w:sz w:val="21"/>
                      <w:lang w:val="en-US" w:eastAsia="zh-CN" w:bidi="ar-SA"/>
                    </w:rPr>
                  </w:pPr>
                </w:p>
              </w:tc>
              <w:tc>
                <w:tcPr>
                  <w:tcW w:w="0" w:type="auto"/>
                  <w:noWrap w:val="0"/>
                  <w:vAlign w:val="center"/>
                </w:tcPr>
                <w:p w14:paraId="360D4EFF">
                  <w:pPr>
                    <w:widowControl w:val="0"/>
                    <w:jc w:val="both"/>
                    <w:rPr>
                      <w:rFonts w:ascii="Calibri" w:hAnsi="Calibri"/>
                      <w:kern w:val="2"/>
                      <w:sz w:val="21"/>
                      <w:lang w:val="en-US" w:eastAsia="zh-CN" w:bidi="ar-SA"/>
                    </w:rPr>
                  </w:pPr>
                </w:p>
              </w:tc>
              <w:tc>
                <w:tcPr>
                  <w:tcW w:w="0" w:type="auto"/>
                  <w:noWrap w:val="0"/>
                  <w:vAlign w:val="center"/>
                </w:tcPr>
                <w:p w14:paraId="022992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6C50E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3EBEB1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无 机非金属指标》（8.1 硼 甲亚胺-H 分光光度法）（GB/T 5750.5-2022）</w:t>
                  </w:r>
                </w:p>
              </w:tc>
              <w:tc>
                <w:tcPr>
                  <w:tcW w:w="83" w:type="pct"/>
                  <w:noWrap w:val="0"/>
                  <w:vAlign w:val="center"/>
                </w:tcPr>
                <w:p w14:paraId="7BD6D6FB">
                  <w:pPr>
                    <w:widowControl w:val="0"/>
                    <w:jc w:val="both"/>
                    <w:rPr>
                      <w:rFonts w:ascii="Calibri" w:hAnsi="Calibri"/>
                      <w:kern w:val="2"/>
                      <w:sz w:val="21"/>
                      <w:lang w:val="en-US" w:eastAsia="zh-CN" w:bidi="ar-SA"/>
                    </w:rPr>
                  </w:pPr>
                </w:p>
              </w:tc>
            </w:tr>
            <w:tr w14:paraId="6F62A83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E4802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85</w:t>
                  </w:r>
                </w:p>
              </w:tc>
              <w:tc>
                <w:tcPr>
                  <w:tcW w:w="240" w:type="pct"/>
                  <w:noWrap w:val="0"/>
                  <w:vAlign w:val="center"/>
                </w:tcPr>
                <w:p w14:paraId="05B00DF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56F045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EDEE71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2D3A525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33C5E2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硼</w:t>
                  </w:r>
                </w:p>
              </w:tc>
              <w:tc>
                <w:tcPr>
                  <w:tcW w:w="153" w:type="pct"/>
                  <w:noWrap w:val="0"/>
                  <w:vAlign w:val="center"/>
                </w:tcPr>
                <w:p w14:paraId="1CBD718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339319B">
                  <w:pPr>
                    <w:widowControl w:val="0"/>
                    <w:jc w:val="both"/>
                    <w:rPr>
                      <w:rFonts w:ascii="Calibri" w:hAnsi="Calibri"/>
                      <w:kern w:val="2"/>
                      <w:sz w:val="21"/>
                      <w:lang w:val="en-US" w:eastAsia="zh-CN" w:bidi="ar-SA"/>
                    </w:rPr>
                  </w:pPr>
                </w:p>
              </w:tc>
              <w:tc>
                <w:tcPr>
                  <w:tcW w:w="0" w:type="auto"/>
                  <w:noWrap w:val="0"/>
                  <w:vAlign w:val="center"/>
                </w:tcPr>
                <w:p w14:paraId="6F3BDF97">
                  <w:pPr>
                    <w:widowControl w:val="0"/>
                    <w:jc w:val="both"/>
                    <w:rPr>
                      <w:rFonts w:ascii="Calibri" w:hAnsi="Calibri"/>
                      <w:kern w:val="2"/>
                      <w:sz w:val="21"/>
                      <w:lang w:val="en-US" w:eastAsia="zh-CN" w:bidi="ar-SA"/>
                    </w:rPr>
                  </w:pPr>
                </w:p>
              </w:tc>
              <w:tc>
                <w:tcPr>
                  <w:tcW w:w="0" w:type="auto"/>
                  <w:noWrap w:val="0"/>
                  <w:vAlign w:val="center"/>
                </w:tcPr>
                <w:p w14:paraId="14987CC5">
                  <w:pPr>
                    <w:widowControl w:val="0"/>
                    <w:jc w:val="both"/>
                    <w:rPr>
                      <w:rFonts w:ascii="Calibri" w:hAnsi="Calibri"/>
                      <w:kern w:val="2"/>
                      <w:sz w:val="21"/>
                      <w:lang w:val="en-US" w:eastAsia="zh-CN" w:bidi="ar-SA"/>
                    </w:rPr>
                  </w:pPr>
                </w:p>
              </w:tc>
              <w:tc>
                <w:tcPr>
                  <w:tcW w:w="0" w:type="auto"/>
                  <w:noWrap w:val="0"/>
                  <w:vAlign w:val="center"/>
                </w:tcPr>
                <w:p w14:paraId="2A0673A5">
                  <w:pPr>
                    <w:widowControl w:val="0"/>
                    <w:jc w:val="both"/>
                    <w:rPr>
                      <w:rFonts w:ascii="Calibri" w:hAnsi="Calibri"/>
                      <w:kern w:val="2"/>
                      <w:sz w:val="21"/>
                      <w:lang w:val="en-US" w:eastAsia="zh-CN" w:bidi="ar-SA"/>
                    </w:rPr>
                  </w:pPr>
                </w:p>
              </w:tc>
              <w:tc>
                <w:tcPr>
                  <w:tcW w:w="0" w:type="auto"/>
                  <w:noWrap w:val="0"/>
                  <w:vAlign w:val="center"/>
                </w:tcPr>
                <w:p w14:paraId="767B71C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D0588A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0B5269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无 机非金属指标》（8.1 硼 甲亚胺-H 分光光度法）（GB/T 5750.5-2022）</w:t>
                  </w:r>
                </w:p>
              </w:tc>
              <w:tc>
                <w:tcPr>
                  <w:tcW w:w="83" w:type="pct"/>
                  <w:noWrap w:val="0"/>
                  <w:vAlign w:val="center"/>
                </w:tcPr>
                <w:p w14:paraId="0BCDCE6E">
                  <w:pPr>
                    <w:widowControl w:val="0"/>
                    <w:jc w:val="both"/>
                    <w:rPr>
                      <w:rFonts w:ascii="Calibri" w:hAnsi="Calibri"/>
                      <w:kern w:val="2"/>
                      <w:sz w:val="21"/>
                      <w:lang w:val="en-US" w:eastAsia="zh-CN" w:bidi="ar-SA"/>
                    </w:rPr>
                  </w:pPr>
                </w:p>
              </w:tc>
            </w:tr>
            <w:tr w14:paraId="0693D2D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F05931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86</w:t>
                  </w:r>
                </w:p>
              </w:tc>
              <w:tc>
                <w:tcPr>
                  <w:tcW w:w="240" w:type="pct"/>
                  <w:noWrap w:val="0"/>
                  <w:vAlign w:val="center"/>
                </w:tcPr>
                <w:p w14:paraId="29A7B0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F6D78F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01FECD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4BF866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3ADCAD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钠</w:t>
                  </w:r>
                </w:p>
              </w:tc>
              <w:tc>
                <w:tcPr>
                  <w:tcW w:w="153" w:type="pct"/>
                  <w:noWrap w:val="0"/>
                  <w:vAlign w:val="center"/>
                </w:tcPr>
                <w:p w14:paraId="69B0267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997712B">
                  <w:pPr>
                    <w:widowControl w:val="0"/>
                    <w:jc w:val="both"/>
                    <w:rPr>
                      <w:rFonts w:ascii="Calibri" w:hAnsi="Calibri"/>
                      <w:kern w:val="2"/>
                      <w:sz w:val="21"/>
                      <w:lang w:val="en-US" w:eastAsia="zh-CN" w:bidi="ar-SA"/>
                    </w:rPr>
                  </w:pPr>
                </w:p>
              </w:tc>
              <w:tc>
                <w:tcPr>
                  <w:tcW w:w="0" w:type="auto"/>
                  <w:noWrap w:val="0"/>
                  <w:vAlign w:val="center"/>
                </w:tcPr>
                <w:p w14:paraId="7CD57D0B">
                  <w:pPr>
                    <w:widowControl w:val="0"/>
                    <w:jc w:val="both"/>
                    <w:rPr>
                      <w:rFonts w:ascii="Calibri" w:hAnsi="Calibri"/>
                      <w:kern w:val="2"/>
                      <w:sz w:val="21"/>
                      <w:lang w:val="en-US" w:eastAsia="zh-CN" w:bidi="ar-SA"/>
                    </w:rPr>
                  </w:pPr>
                </w:p>
              </w:tc>
              <w:tc>
                <w:tcPr>
                  <w:tcW w:w="0" w:type="auto"/>
                  <w:noWrap w:val="0"/>
                  <w:vAlign w:val="center"/>
                </w:tcPr>
                <w:p w14:paraId="0E123982">
                  <w:pPr>
                    <w:widowControl w:val="0"/>
                    <w:jc w:val="both"/>
                    <w:rPr>
                      <w:rFonts w:ascii="Calibri" w:hAnsi="Calibri"/>
                      <w:kern w:val="2"/>
                      <w:sz w:val="21"/>
                      <w:lang w:val="en-US" w:eastAsia="zh-CN" w:bidi="ar-SA"/>
                    </w:rPr>
                  </w:pPr>
                </w:p>
              </w:tc>
              <w:tc>
                <w:tcPr>
                  <w:tcW w:w="0" w:type="auto"/>
                  <w:noWrap w:val="0"/>
                  <w:vAlign w:val="center"/>
                </w:tcPr>
                <w:p w14:paraId="00F888FF">
                  <w:pPr>
                    <w:widowControl w:val="0"/>
                    <w:jc w:val="both"/>
                    <w:rPr>
                      <w:rFonts w:ascii="Calibri" w:hAnsi="Calibri"/>
                      <w:kern w:val="2"/>
                      <w:sz w:val="21"/>
                      <w:lang w:val="en-US" w:eastAsia="zh-CN" w:bidi="ar-SA"/>
                    </w:rPr>
                  </w:pPr>
                </w:p>
              </w:tc>
              <w:tc>
                <w:tcPr>
                  <w:tcW w:w="0" w:type="auto"/>
                  <w:noWrap w:val="0"/>
                  <w:vAlign w:val="center"/>
                </w:tcPr>
                <w:p w14:paraId="2E12C9A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39E68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B32A9A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金属指 标》（22.1 钠 火焰原子吸收分光光度法）（GB/T 5750.6-2022）</w:t>
                  </w:r>
                </w:p>
              </w:tc>
              <w:tc>
                <w:tcPr>
                  <w:tcW w:w="83" w:type="pct"/>
                  <w:noWrap w:val="0"/>
                  <w:vAlign w:val="center"/>
                </w:tcPr>
                <w:p w14:paraId="3D9BCDFF">
                  <w:pPr>
                    <w:widowControl w:val="0"/>
                    <w:jc w:val="both"/>
                    <w:rPr>
                      <w:rFonts w:ascii="Calibri" w:hAnsi="Calibri"/>
                      <w:kern w:val="2"/>
                      <w:sz w:val="21"/>
                      <w:lang w:val="en-US" w:eastAsia="zh-CN" w:bidi="ar-SA"/>
                    </w:rPr>
                  </w:pPr>
                </w:p>
              </w:tc>
            </w:tr>
            <w:tr w14:paraId="587B8D8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49F3B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87</w:t>
                  </w:r>
                </w:p>
              </w:tc>
              <w:tc>
                <w:tcPr>
                  <w:tcW w:w="240" w:type="pct"/>
                  <w:noWrap w:val="0"/>
                  <w:vAlign w:val="center"/>
                </w:tcPr>
                <w:p w14:paraId="27FB36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6B42F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3860E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2CED0C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716813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钠</w:t>
                  </w:r>
                </w:p>
              </w:tc>
              <w:tc>
                <w:tcPr>
                  <w:tcW w:w="153" w:type="pct"/>
                  <w:noWrap w:val="0"/>
                  <w:vAlign w:val="center"/>
                </w:tcPr>
                <w:p w14:paraId="598FF21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A71D807">
                  <w:pPr>
                    <w:widowControl w:val="0"/>
                    <w:jc w:val="both"/>
                    <w:rPr>
                      <w:rFonts w:ascii="Calibri" w:hAnsi="Calibri"/>
                      <w:kern w:val="2"/>
                      <w:sz w:val="21"/>
                      <w:lang w:val="en-US" w:eastAsia="zh-CN" w:bidi="ar-SA"/>
                    </w:rPr>
                  </w:pPr>
                </w:p>
              </w:tc>
              <w:tc>
                <w:tcPr>
                  <w:tcW w:w="0" w:type="auto"/>
                  <w:noWrap w:val="0"/>
                  <w:vAlign w:val="center"/>
                </w:tcPr>
                <w:p w14:paraId="02CBCE67">
                  <w:pPr>
                    <w:widowControl w:val="0"/>
                    <w:jc w:val="both"/>
                    <w:rPr>
                      <w:rFonts w:ascii="Calibri" w:hAnsi="Calibri"/>
                      <w:kern w:val="2"/>
                      <w:sz w:val="21"/>
                      <w:lang w:val="en-US" w:eastAsia="zh-CN" w:bidi="ar-SA"/>
                    </w:rPr>
                  </w:pPr>
                </w:p>
              </w:tc>
              <w:tc>
                <w:tcPr>
                  <w:tcW w:w="0" w:type="auto"/>
                  <w:noWrap w:val="0"/>
                  <w:vAlign w:val="center"/>
                </w:tcPr>
                <w:p w14:paraId="2CF34114">
                  <w:pPr>
                    <w:widowControl w:val="0"/>
                    <w:jc w:val="both"/>
                    <w:rPr>
                      <w:rFonts w:ascii="Calibri" w:hAnsi="Calibri"/>
                      <w:kern w:val="2"/>
                      <w:sz w:val="21"/>
                      <w:lang w:val="en-US" w:eastAsia="zh-CN" w:bidi="ar-SA"/>
                    </w:rPr>
                  </w:pPr>
                </w:p>
              </w:tc>
              <w:tc>
                <w:tcPr>
                  <w:tcW w:w="0" w:type="auto"/>
                  <w:noWrap w:val="0"/>
                  <w:vAlign w:val="center"/>
                </w:tcPr>
                <w:p w14:paraId="5CF21A29">
                  <w:pPr>
                    <w:widowControl w:val="0"/>
                    <w:jc w:val="both"/>
                    <w:rPr>
                      <w:rFonts w:ascii="Calibri" w:hAnsi="Calibri"/>
                      <w:kern w:val="2"/>
                      <w:sz w:val="21"/>
                      <w:lang w:val="en-US" w:eastAsia="zh-CN" w:bidi="ar-SA"/>
                    </w:rPr>
                  </w:pPr>
                </w:p>
              </w:tc>
              <w:tc>
                <w:tcPr>
                  <w:tcW w:w="0" w:type="auto"/>
                  <w:noWrap w:val="0"/>
                  <w:vAlign w:val="center"/>
                </w:tcPr>
                <w:p w14:paraId="2F135C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495DA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57E63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金属指 标》（22.1 钠 火焰原子吸收分光光度法）（GB/T 5750.6-2022）</w:t>
                  </w:r>
                </w:p>
              </w:tc>
              <w:tc>
                <w:tcPr>
                  <w:tcW w:w="83" w:type="pct"/>
                  <w:noWrap w:val="0"/>
                  <w:vAlign w:val="center"/>
                </w:tcPr>
                <w:p w14:paraId="2912F738">
                  <w:pPr>
                    <w:widowControl w:val="0"/>
                    <w:jc w:val="both"/>
                    <w:rPr>
                      <w:rFonts w:ascii="Calibri" w:hAnsi="Calibri"/>
                      <w:kern w:val="2"/>
                      <w:sz w:val="21"/>
                      <w:lang w:val="en-US" w:eastAsia="zh-CN" w:bidi="ar-SA"/>
                    </w:rPr>
                  </w:pPr>
                </w:p>
              </w:tc>
            </w:tr>
            <w:tr w14:paraId="5C79D5A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63AA00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88</w:t>
                  </w:r>
                </w:p>
              </w:tc>
              <w:tc>
                <w:tcPr>
                  <w:tcW w:w="240" w:type="pct"/>
                  <w:noWrap w:val="0"/>
                  <w:vAlign w:val="center"/>
                </w:tcPr>
                <w:p w14:paraId="5CFFD2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7FFFD9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F5D6D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72BF35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CDC0B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钠</w:t>
                  </w:r>
                </w:p>
              </w:tc>
              <w:tc>
                <w:tcPr>
                  <w:tcW w:w="153" w:type="pct"/>
                  <w:noWrap w:val="0"/>
                  <w:vAlign w:val="center"/>
                </w:tcPr>
                <w:p w14:paraId="2544B5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2A296CB">
                  <w:pPr>
                    <w:widowControl w:val="0"/>
                    <w:jc w:val="both"/>
                    <w:rPr>
                      <w:rFonts w:ascii="Calibri" w:hAnsi="Calibri"/>
                      <w:kern w:val="2"/>
                      <w:sz w:val="21"/>
                      <w:lang w:val="en-US" w:eastAsia="zh-CN" w:bidi="ar-SA"/>
                    </w:rPr>
                  </w:pPr>
                </w:p>
              </w:tc>
              <w:tc>
                <w:tcPr>
                  <w:tcW w:w="0" w:type="auto"/>
                  <w:noWrap w:val="0"/>
                  <w:vAlign w:val="center"/>
                </w:tcPr>
                <w:p w14:paraId="54970095">
                  <w:pPr>
                    <w:widowControl w:val="0"/>
                    <w:jc w:val="both"/>
                    <w:rPr>
                      <w:rFonts w:ascii="Calibri" w:hAnsi="Calibri"/>
                      <w:kern w:val="2"/>
                      <w:sz w:val="21"/>
                      <w:lang w:val="en-US" w:eastAsia="zh-CN" w:bidi="ar-SA"/>
                    </w:rPr>
                  </w:pPr>
                </w:p>
              </w:tc>
              <w:tc>
                <w:tcPr>
                  <w:tcW w:w="0" w:type="auto"/>
                  <w:noWrap w:val="0"/>
                  <w:vAlign w:val="center"/>
                </w:tcPr>
                <w:p w14:paraId="2D22D2A4">
                  <w:pPr>
                    <w:widowControl w:val="0"/>
                    <w:jc w:val="both"/>
                    <w:rPr>
                      <w:rFonts w:ascii="Calibri" w:hAnsi="Calibri"/>
                      <w:kern w:val="2"/>
                      <w:sz w:val="21"/>
                      <w:lang w:val="en-US" w:eastAsia="zh-CN" w:bidi="ar-SA"/>
                    </w:rPr>
                  </w:pPr>
                </w:p>
              </w:tc>
              <w:tc>
                <w:tcPr>
                  <w:tcW w:w="0" w:type="auto"/>
                  <w:noWrap w:val="0"/>
                  <w:vAlign w:val="center"/>
                </w:tcPr>
                <w:p w14:paraId="1E3BBAE4">
                  <w:pPr>
                    <w:widowControl w:val="0"/>
                    <w:jc w:val="both"/>
                    <w:rPr>
                      <w:rFonts w:ascii="Calibri" w:hAnsi="Calibri"/>
                      <w:kern w:val="2"/>
                      <w:sz w:val="21"/>
                      <w:lang w:val="en-US" w:eastAsia="zh-CN" w:bidi="ar-SA"/>
                    </w:rPr>
                  </w:pPr>
                </w:p>
              </w:tc>
              <w:tc>
                <w:tcPr>
                  <w:tcW w:w="0" w:type="auto"/>
                  <w:noWrap w:val="0"/>
                  <w:vAlign w:val="center"/>
                </w:tcPr>
                <w:p w14:paraId="6301E5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7AF8D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61DD2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金属指 标》（22.1 钠 火焰原子吸收分光光度法）（GB/T 5750.6-2022）</w:t>
                  </w:r>
                </w:p>
              </w:tc>
              <w:tc>
                <w:tcPr>
                  <w:tcW w:w="83" w:type="pct"/>
                  <w:noWrap w:val="0"/>
                  <w:vAlign w:val="center"/>
                </w:tcPr>
                <w:p w14:paraId="4C75CCA1">
                  <w:pPr>
                    <w:widowControl w:val="0"/>
                    <w:jc w:val="both"/>
                    <w:rPr>
                      <w:rFonts w:ascii="Calibri" w:hAnsi="Calibri"/>
                      <w:kern w:val="2"/>
                      <w:sz w:val="21"/>
                      <w:lang w:val="en-US" w:eastAsia="zh-CN" w:bidi="ar-SA"/>
                    </w:rPr>
                  </w:pPr>
                </w:p>
              </w:tc>
            </w:tr>
            <w:tr w14:paraId="2CF5995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1C3C42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89</w:t>
                  </w:r>
                </w:p>
              </w:tc>
              <w:tc>
                <w:tcPr>
                  <w:tcW w:w="240" w:type="pct"/>
                  <w:noWrap w:val="0"/>
                  <w:vAlign w:val="center"/>
                </w:tcPr>
                <w:p w14:paraId="640E69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686C44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A5971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418F9F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7F33589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315B88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CE6302A">
                  <w:pPr>
                    <w:widowControl w:val="0"/>
                    <w:jc w:val="both"/>
                    <w:rPr>
                      <w:rFonts w:ascii="Calibri" w:hAnsi="Calibri"/>
                      <w:kern w:val="2"/>
                      <w:sz w:val="21"/>
                      <w:lang w:val="en-US" w:eastAsia="zh-CN" w:bidi="ar-SA"/>
                    </w:rPr>
                  </w:pPr>
                </w:p>
              </w:tc>
              <w:tc>
                <w:tcPr>
                  <w:tcW w:w="0" w:type="auto"/>
                  <w:noWrap w:val="0"/>
                  <w:vAlign w:val="center"/>
                </w:tcPr>
                <w:p w14:paraId="66E87AB1">
                  <w:pPr>
                    <w:widowControl w:val="0"/>
                    <w:jc w:val="both"/>
                    <w:rPr>
                      <w:rFonts w:ascii="Calibri" w:hAnsi="Calibri"/>
                      <w:kern w:val="2"/>
                      <w:sz w:val="21"/>
                      <w:lang w:val="en-US" w:eastAsia="zh-CN" w:bidi="ar-SA"/>
                    </w:rPr>
                  </w:pPr>
                </w:p>
              </w:tc>
              <w:tc>
                <w:tcPr>
                  <w:tcW w:w="0" w:type="auto"/>
                  <w:noWrap w:val="0"/>
                  <w:vAlign w:val="center"/>
                </w:tcPr>
                <w:p w14:paraId="5A9F9FF2">
                  <w:pPr>
                    <w:widowControl w:val="0"/>
                    <w:jc w:val="both"/>
                    <w:rPr>
                      <w:rFonts w:ascii="Calibri" w:hAnsi="Calibri"/>
                      <w:kern w:val="2"/>
                      <w:sz w:val="21"/>
                      <w:lang w:val="en-US" w:eastAsia="zh-CN" w:bidi="ar-SA"/>
                    </w:rPr>
                  </w:pPr>
                </w:p>
              </w:tc>
              <w:tc>
                <w:tcPr>
                  <w:tcW w:w="0" w:type="auto"/>
                  <w:noWrap w:val="0"/>
                  <w:vAlign w:val="center"/>
                </w:tcPr>
                <w:p w14:paraId="7ECF1B3D">
                  <w:pPr>
                    <w:widowControl w:val="0"/>
                    <w:jc w:val="both"/>
                    <w:rPr>
                      <w:rFonts w:ascii="Calibri" w:hAnsi="Calibri"/>
                      <w:kern w:val="2"/>
                      <w:sz w:val="21"/>
                      <w:lang w:val="en-US" w:eastAsia="zh-CN" w:bidi="ar-SA"/>
                    </w:rPr>
                  </w:pPr>
                </w:p>
              </w:tc>
              <w:tc>
                <w:tcPr>
                  <w:tcW w:w="0" w:type="auto"/>
                  <w:noWrap w:val="0"/>
                  <w:vAlign w:val="center"/>
                </w:tcPr>
                <w:p w14:paraId="0A3E985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FEEECC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68958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汞的测定 冷原子荧光法（试行）HJ/T 341-2007</w:t>
                  </w:r>
                </w:p>
              </w:tc>
              <w:tc>
                <w:tcPr>
                  <w:tcW w:w="83" w:type="pct"/>
                  <w:noWrap w:val="0"/>
                  <w:vAlign w:val="center"/>
                </w:tcPr>
                <w:p w14:paraId="416BB785">
                  <w:pPr>
                    <w:widowControl w:val="0"/>
                    <w:jc w:val="both"/>
                    <w:rPr>
                      <w:rFonts w:ascii="Calibri" w:hAnsi="Calibri"/>
                      <w:kern w:val="2"/>
                      <w:sz w:val="21"/>
                      <w:lang w:val="en-US" w:eastAsia="zh-CN" w:bidi="ar-SA"/>
                    </w:rPr>
                  </w:pPr>
                </w:p>
              </w:tc>
            </w:tr>
            <w:tr w14:paraId="138906D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66650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90</w:t>
                  </w:r>
                </w:p>
              </w:tc>
              <w:tc>
                <w:tcPr>
                  <w:tcW w:w="240" w:type="pct"/>
                  <w:noWrap w:val="0"/>
                  <w:vAlign w:val="center"/>
                </w:tcPr>
                <w:p w14:paraId="535322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0E22011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69C2E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7B34417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7C5D6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6E1B05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05BE384">
                  <w:pPr>
                    <w:widowControl w:val="0"/>
                    <w:jc w:val="both"/>
                    <w:rPr>
                      <w:rFonts w:ascii="Calibri" w:hAnsi="Calibri"/>
                      <w:kern w:val="2"/>
                      <w:sz w:val="21"/>
                      <w:lang w:val="en-US" w:eastAsia="zh-CN" w:bidi="ar-SA"/>
                    </w:rPr>
                  </w:pPr>
                </w:p>
              </w:tc>
              <w:tc>
                <w:tcPr>
                  <w:tcW w:w="0" w:type="auto"/>
                  <w:noWrap w:val="0"/>
                  <w:vAlign w:val="center"/>
                </w:tcPr>
                <w:p w14:paraId="347C4C15">
                  <w:pPr>
                    <w:widowControl w:val="0"/>
                    <w:jc w:val="both"/>
                    <w:rPr>
                      <w:rFonts w:ascii="Calibri" w:hAnsi="Calibri"/>
                      <w:kern w:val="2"/>
                      <w:sz w:val="21"/>
                      <w:lang w:val="en-US" w:eastAsia="zh-CN" w:bidi="ar-SA"/>
                    </w:rPr>
                  </w:pPr>
                </w:p>
              </w:tc>
              <w:tc>
                <w:tcPr>
                  <w:tcW w:w="0" w:type="auto"/>
                  <w:noWrap w:val="0"/>
                  <w:vAlign w:val="center"/>
                </w:tcPr>
                <w:p w14:paraId="2F68BC64">
                  <w:pPr>
                    <w:widowControl w:val="0"/>
                    <w:jc w:val="both"/>
                    <w:rPr>
                      <w:rFonts w:ascii="Calibri" w:hAnsi="Calibri"/>
                      <w:kern w:val="2"/>
                      <w:sz w:val="21"/>
                      <w:lang w:val="en-US" w:eastAsia="zh-CN" w:bidi="ar-SA"/>
                    </w:rPr>
                  </w:pPr>
                </w:p>
              </w:tc>
              <w:tc>
                <w:tcPr>
                  <w:tcW w:w="0" w:type="auto"/>
                  <w:noWrap w:val="0"/>
                  <w:vAlign w:val="center"/>
                </w:tcPr>
                <w:p w14:paraId="06EBA978">
                  <w:pPr>
                    <w:widowControl w:val="0"/>
                    <w:jc w:val="both"/>
                    <w:rPr>
                      <w:rFonts w:ascii="Calibri" w:hAnsi="Calibri"/>
                      <w:kern w:val="2"/>
                      <w:sz w:val="21"/>
                      <w:lang w:val="en-US" w:eastAsia="zh-CN" w:bidi="ar-SA"/>
                    </w:rPr>
                  </w:pPr>
                </w:p>
              </w:tc>
              <w:tc>
                <w:tcPr>
                  <w:tcW w:w="0" w:type="auto"/>
                  <w:noWrap w:val="0"/>
                  <w:vAlign w:val="center"/>
                </w:tcPr>
                <w:p w14:paraId="4762033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A879D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990CC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总汞的测定 冷原子吸收分光光度法HJ 597-2011 代替GB 7468-87</w:t>
                  </w:r>
                </w:p>
              </w:tc>
              <w:tc>
                <w:tcPr>
                  <w:tcW w:w="83" w:type="pct"/>
                  <w:noWrap w:val="0"/>
                  <w:vAlign w:val="center"/>
                </w:tcPr>
                <w:p w14:paraId="2DED9726">
                  <w:pPr>
                    <w:widowControl w:val="0"/>
                    <w:jc w:val="both"/>
                    <w:rPr>
                      <w:rFonts w:ascii="Calibri" w:hAnsi="Calibri"/>
                      <w:kern w:val="2"/>
                      <w:sz w:val="21"/>
                      <w:lang w:val="en-US" w:eastAsia="zh-CN" w:bidi="ar-SA"/>
                    </w:rPr>
                  </w:pPr>
                </w:p>
              </w:tc>
            </w:tr>
            <w:tr w14:paraId="7E0EE303">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FAAE14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91</w:t>
                  </w:r>
                </w:p>
              </w:tc>
              <w:tc>
                <w:tcPr>
                  <w:tcW w:w="240" w:type="pct"/>
                  <w:noWrap w:val="0"/>
                  <w:vAlign w:val="center"/>
                </w:tcPr>
                <w:p w14:paraId="3A74144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2BEBF2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C28236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2CE0C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24F8D5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总汞</w:t>
                  </w:r>
                </w:p>
              </w:tc>
              <w:tc>
                <w:tcPr>
                  <w:tcW w:w="153" w:type="pct"/>
                  <w:noWrap w:val="0"/>
                  <w:vAlign w:val="center"/>
                </w:tcPr>
                <w:p w14:paraId="6D1112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F007D09">
                  <w:pPr>
                    <w:widowControl w:val="0"/>
                    <w:jc w:val="both"/>
                    <w:rPr>
                      <w:rFonts w:ascii="Calibri" w:hAnsi="Calibri"/>
                      <w:kern w:val="2"/>
                      <w:sz w:val="21"/>
                      <w:lang w:val="en-US" w:eastAsia="zh-CN" w:bidi="ar-SA"/>
                    </w:rPr>
                  </w:pPr>
                </w:p>
              </w:tc>
              <w:tc>
                <w:tcPr>
                  <w:tcW w:w="0" w:type="auto"/>
                  <w:noWrap w:val="0"/>
                  <w:vAlign w:val="center"/>
                </w:tcPr>
                <w:p w14:paraId="39FE3DD8">
                  <w:pPr>
                    <w:widowControl w:val="0"/>
                    <w:jc w:val="both"/>
                    <w:rPr>
                      <w:rFonts w:ascii="Calibri" w:hAnsi="Calibri"/>
                      <w:kern w:val="2"/>
                      <w:sz w:val="21"/>
                      <w:lang w:val="en-US" w:eastAsia="zh-CN" w:bidi="ar-SA"/>
                    </w:rPr>
                  </w:pPr>
                </w:p>
              </w:tc>
              <w:tc>
                <w:tcPr>
                  <w:tcW w:w="0" w:type="auto"/>
                  <w:noWrap w:val="0"/>
                  <w:vAlign w:val="center"/>
                </w:tcPr>
                <w:p w14:paraId="69A7920A">
                  <w:pPr>
                    <w:widowControl w:val="0"/>
                    <w:jc w:val="both"/>
                    <w:rPr>
                      <w:rFonts w:ascii="Calibri" w:hAnsi="Calibri"/>
                      <w:kern w:val="2"/>
                      <w:sz w:val="21"/>
                      <w:lang w:val="en-US" w:eastAsia="zh-CN" w:bidi="ar-SA"/>
                    </w:rPr>
                  </w:pPr>
                </w:p>
              </w:tc>
              <w:tc>
                <w:tcPr>
                  <w:tcW w:w="0" w:type="auto"/>
                  <w:noWrap w:val="0"/>
                  <w:vAlign w:val="center"/>
                </w:tcPr>
                <w:p w14:paraId="1A77C6D1">
                  <w:pPr>
                    <w:widowControl w:val="0"/>
                    <w:jc w:val="both"/>
                    <w:rPr>
                      <w:rFonts w:ascii="Calibri" w:hAnsi="Calibri"/>
                      <w:kern w:val="2"/>
                      <w:sz w:val="21"/>
                      <w:lang w:val="en-US" w:eastAsia="zh-CN" w:bidi="ar-SA"/>
                    </w:rPr>
                  </w:pPr>
                </w:p>
              </w:tc>
              <w:tc>
                <w:tcPr>
                  <w:tcW w:w="0" w:type="auto"/>
                  <w:noWrap w:val="0"/>
                  <w:vAlign w:val="center"/>
                </w:tcPr>
                <w:p w14:paraId="4551DF8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210207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297BF7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总汞的测定 冷原子吸收分光光度法HJ 597-2011 代替GB 7468-87</w:t>
                  </w:r>
                </w:p>
              </w:tc>
              <w:tc>
                <w:tcPr>
                  <w:tcW w:w="83" w:type="pct"/>
                  <w:noWrap w:val="0"/>
                  <w:vAlign w:val="center"/>
                </w:tcPr>
                <w:p w14:paraId="0F7A7CB2">
                  <w:pPr>
                    <w:widowControl w:val="0"/>
                    <w:jc w:val="both"/>
                    <w:rPr>
                      <w:rFonts w:ascii="Calibri" w:hAnsi="Calibri"/>
                      <w:kern w:val="2"/>
                      <w:sz w:val="21"/>
                      <w:lang w:val="en-US" w:eastAsia="zh-CN" w:bidi="ar-SA"/>
                    </w:rPr>
                  </w:pPr>
                </w:p>
              </w:tc>
            </w:tr>
            <w:tr w14:paraId="44ECCE4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C9CD93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92</w:t>
                  </w:r>
                </w:p>
              </w:tc>
              <w:tc>
                <w:tcPr>
                  <w:tcW w:w="240" w:type="pct"/>
                  <w:noWrap w:val="0"/>
                  <w:vAlign w:val="center"/>
                </w:tcPr>
                <w:p w14:paraId="5851920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C8E222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0FD4CD8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023E9DD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535071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2B8C35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2B7A7AC">
                  <w:pPr>
                    <w:widowControl w:val="0"/>
                    <w:jc w:val="both"/>
                    <w:rPr>
                      <w:rFonts w:ascii="Calibri" w:hAnsi="Calibri"/>
                      <w:kern w:val="2"/>
                      <w:sz w:val="21"/>
                      <w:lang w:val="en-US" w:eastAsia="zh-CN" w:bidi="ar-SA"/>
                    </w:rPr>
                  </w:pPr>
                </w:p>
              </w:tc>
              <w:tc>
                <w:tcPr>
                  <w:tcW w:w="0" w:type="auto"/>
                  <w:noWrap w:val="0"/>
                  <w:vAlign w:val="center"/>
                </w:tcPr>
                <w:p w14:paraId="012CA38B">
                  <w:pPr>
                    <w:widowControl w:val="0"/>
                    <w:jc w:val="both"/>
                    <w:rPr>
                      <w:rFonts w:ascii="Calibri" w:hAnsi="Calibri"/>
                      <w:kern w:val="2"/>
                      <w:sz w:val="21"/>
                      <w:lang w:val="en-US" w:eastAsia="zh-CN" w:bidi="ar-SA"/>
                    </w:rPr>
                  </w:pPr>
                </w:p>
              </w:tc>
              <w:tc>
                <w:tcPr>
                  <w:tcW w:w="0" w:type="auto"/>
                  <w:noWrap w:val="0"/>
                  <w:vAlign w:val="center"/>
                </w:tcPr>
                <w:p w14:paraId="342C2E34">
                  <w:pPr>
                    <w:widowControl w:val="0"/>
                    <w:jc w:val="both"/>
                    <w:rPr>
                      <w:rFonts w:ascii="Calibri" w:hAnsi="Calibri"/>
                      <w:kern w:val="2"/>
                      <w:sz w:val="21"/>
                      <w:lang w:val="en-US" w:eastAsia="zh-CN" w:bidi="ar-SA"/>
                    </w:rPr>
                  </w:pPr>
                </w:p>
              </w:tc>
              <w:tc>
                <w:tcPr>
                  <w:tcW w:w="0" w:type="auto"/>
                  <w:noWrap w:val="0"/>
                  <w:vAlign w:val="center"/>
                </w:tcPr>
                <w:p w14:paraId="1772BEED">
                  <w:pPr>
                    <w:widowControl w:val="0"/>
                    <w:jc w:val="both"/>
                    <w:rPr>
                      <w:rFonts w:ascii="Calibri" w:hAnsi="Calibri"/>
                      <w:kern w:val="2"/>
                      <w:sz w:val="21"/>
                      <w:lang w:val="en-US" w:eastAsia="zh-CN" w:bidi="ar-SA"/>
                    </w:rPr>
                  </w:pPr>
                </w:p>
              </w:tc>
              <w:tc>
                <w:tcPr>
                  <w:tcW w:w="0" w:type="auto"/>
                  <w:noWrap w:val="0"/>
                  <w:vAlign w:val="center"/>
                </w:tcPr>
                <w:p w14:paraId="7A465F3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70FC6F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5B0DFE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铜、锌、铅、镉的测定 原子吸收分光光度法GB 7475-87</w:t>
                  </w:r>
                </w:p>
              </w:tc>
              <w:tc>
                <w:tcPr>
                  <w:tcW w:w="83" w:type="pct"/>
                  <w:noWrap w:val="0"/>
                  <w:vAlign w:val="center"/>
                </w:tcPr>
                <w:p w14:paraId="0FCB7D67">
                  <w:pPr>
                    <w:widowControl w:val="0"/>
                    <w:jc w:val="both"/>
                    <w:rPr>
                      <w:rFonts w:ascii="Calibri" w:hAnsi="Calibri"/>
                      <w:kern w:val="2"/>
                      <w:sz w:val="21"/>
                      <w:lang w:val="en-US" w:eastAsia="zh-CN" w:bidi="ar-SA"/>
                    </w:rPr>
                  </w:pPr>
                </w:p>
              </w:tc>
            </w:tr>
            <w:tr w14:paraId="55A2A54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4326A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93</w:t>
                  </w:r>
                </w:p>
              </w:tc>
              <w:tc>
                <w:tcPr>
                  <w:tcW w:w="240" w:type="pct"/>
                  <w:noWrap w:val="0"/>
                  <w:vAlign w:val="center"/>
                </w:tcPr>
                <w:p w14:paraId="7D5B6E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B86B3C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C08AD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3652F93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E07955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12A70A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C1DDDA2">
                  <w:pPr>
                    <w:widowControl w:val="0"/>
                    <w:jc w:val="both"/>
                    <w:rPr>
                      <w:rFonts w:ascii="Calibri" w:hAnsi="Calibri"/>
                      <w:kern w:val="2"/>
                      <w:sz w:val="21"/>
                      <w:lang w:val="en-US" w:eastAsia="zh-CN" w:bidi="ar-SA"/>
                    </w:rPr>
                  </w:pPr>
                </w:p>
              </w:tc>
              <w:tc>
                <w:tcPr>
                  <w:tcW w:w="0" w:type="auto"/>
                  <w:noWrap w:val="0"/>
                  <w:vAlign w:val="center"/>
                </w:tcPr>
                <w:p w14:paraId="14A748AA">
                  <w:pPr>
                    <w:widowControl w:val="0"/>
                    <w:jc w:val="both"/>
                    <w:rPr>
                      <w:rFonts w:ascii="Calibri" w:hAnsi="Calibri"/>
                      <w:kern w:val="2"/>
                      <w:sz w:val="21"/>
                      <w:lang w:val="en-US" w:eastAsia="zh-CN" w:bidi="ar-SA"/>
                    </w:rPr>
                  </w:pPr>
                </w:p>
              </w:tc>
              <w:tc>
                <w:tcPr>
                  <w:tcW w:w="0" w:type="auto"/>
                  <w:noWrap w:val="0"/>
                  <w:vAlign w:val="center"/>
                </w:tcPr>
                <w:p w14:paraId="67D49A63">
                  <w:pPr>
                    <w:widowControl w:val="0"/>
                    <w:jc w:val="both"/>
                    <w:rPr>
                      <w:rFonts w:ascii="Calibri" w:hAnsi="Calibri"/>
                      <w:kern w:val="2"/>
                      <w:sz w:val="21"/>
                      <w:lang w:val="en-US" w:eastAsia="zh-CN" w:bidi="ar-SA"/>
                    </w:rPr>
                  </w:pPr>
                </w:p>
              </w:tc>
              <w:tc>
                <w:tcPr>
                  <w:tcW w:w="0" w:type="auto"/>
                  <w:noWrap w:val="0"/>
                  <w:vAlign w:val="center"/>
                </w:tcPr>
                <w:p w14:paraId="347877C2">
                  <w:pPr>
                    <w:widowControl w:val="0"/>
                    <w:jc w:val="both"/>
                    <w:rPr>
                      <w:rFonts w:ascii="Calibri" w:hAnsi="Calibri"/>
                      <w:kern w:val="2"/>
                      <w:sz w:val="21"/>
                      <w:lang w:val="en-US" w:eastAsia="zh-CN" w:bidi="ar-SA"/>
                    </w:rPr>
                  </w:pPr>
                </w:p>
              </w:tc>
              <w:tc>
                <w:tcPr>
                  <w:tcW w:w="0" w:type="auto"/>
                  <w:noWrap w:val="0"/>
                  <w:vAlign w:val="center"/>
                </w:tcPr>
                <w:p w14:paraId="2BF2F24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A5030D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B7E73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铜、锌、铅、镉的测定 原子吸收分光光度法GB 7475-87</w:t>
                  </w:r>
                </w:p>
              </w:tc>
              <w:tc>
                <w:tcPr>
                  <w:tcW w:w="83" w:type="pct"/>
                  <w:noWrap w:val="0"/>
                  <w:vAlign w:val="center"/>
                </w:tcPr>
                <w:p w14:paraId="010EEFA8">
                  <w:pPr>
                    <w:widowControl w:val="0"/>
                    <w:jc w:val="both"/>
                    <w:rPr>
                      <w:rFonts w:ascii="Calibri" w:hAnsi="Calibri"/>
                      <w:kern w:val="2"/>
                      <w:sz w:val="21"/>
                      <w:lang w:val="en-US" w:eastAsia="zh-CN" w:bidi="ar-SA"/>
                    </w:rPr>
                  </w:pPr>
                </w:p>
              </w:tc>
            </w:tr>
            <w:tr w14:paraId="1050E5E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D6B9A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94</w:t>
                  </w:r>
                </w:p>
              </w:tc>
              <w:tc>
                <w:tcPr>
                  <w:tcW w:w="240" w:type="pct"/>
                  <w:noWrap w:val="0"/>
                  <w:vAlign w:val="center"/>
                </w:tcPr>
                <w:p w14:paraId="4E0C1E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24D0D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E81182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49A759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F9815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总镉</w:t>
                  </w:r>
                </w:p>
              </w:tc>
              <w:tc>
                <w:tcPr>
                  <w:tcW w:w="153" w:type="pct"/>
                  <w:noWrap w:val="0"/>
                  <w:vAlign w:val="center"/>
                </w:tcPr>
                <w:p w14:paraId="4A9A59F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4CE3C31">
                  <w:pPr>
                    <w:widowControl w:val="0"/>
                    <w:jc w:val="both"/>
                    <w:rPr>
                      <w:rFonts w:ascii="Calibri" w:hAnsi="Calibri"/>
                      <w:kern w:val="2"/>
                      <w:sz w:val="21"/>
                      <w:lang w:val="en-US" w:eastAsia="zh-CN" w:bidi="ar-SA"/>
                    </w:rPr>
                  </w:pPr>
                </w:p>
              </w:tc>
              <w:tc>
                <w:tcPr>
                  <w:tcW w:w="0" w:type="auto"/>
                  <w:noWrap w:val="0"/>
                  <w:vAlign w:val="center"/>
                </w:tcPr>
                <w:p w14:paraId="3BF60D9D">
                  <w:pPr>
                    <w:widowControl w:val="0"/>
                    <w:jc w:val="both"/>
                    <w:rPr>
                      <w:rFonts w:ascii="Calibri" w:hAnsi="Calibri"/>
                      <w:kern w:val="2"/>
                      <w:sz w:val="21"/>
                      <w:lang w:val="en-US" w:eastAsia="zh-CN" w:bidi="ar-SA"/>
                    </w:rPr>
                  </w:pPr>
                </w:p>
              </w:tc>
              <w:tc>
                <w:tcPr>
                  <w:tcW w:w="0" w:type="auto"/>
                  <w:noWrap w:val="0"/>
                  <w:vAlign w:val="center"/>
                </w:tcPr>
                <w:p w14:paraId="2A681BC3">
                  <w:pPr>
                    <w:widowControl w:val="0"/>
                    <w:jc w:val="both"/>
                    <w:rPr>
                      <w:rFonts w:ascii="Calibri" w:hAnsi="Calibri"/>
                      <w:kern w:val="2"/>
                      <w:sz w:val="21"/>
                      <w:lang w:val="en-US" w:eastAsia="zh-CN" w:bidi="ar-SA"/>
                    </w:rPr>
                  </w:pPr>
                </w:p>
              </w:tc>
              <w:tc>
                <w:tcPr>
                  <w:tcW w:w="0" w:type="auto"/>
                  <w:noWrap w:val="0"/>
                  <w:vAlign w:val="center"/>
                </w:tcPr>
                <w:p w14:paraId="7367180F">
                  <w:pPr>
                    <w:widowControl w:val="0"/>
                    <w:jc w:val="both"/>
                    <w:rPr>
                      <w:rFonts w:ascii="Calibri" w:hAnsi="Calibri"/>
                      <w:kern w:val="2"/>
                      <w:sz w:val="21"/>
                      <w:lang w:val="en-US" w:eastAsia="zh-CN" w:bidi="ar-SA"/>
                    </w:rPr>
                  </w:pPr>
                </w:p>
              </w:tc>
              <w:tc>
                <w:tcPr>
                  <w:tcW w:w="0" w:type="auto"/>
                  <w:noWrap w:val="0"/>
                  <w:vAlign w:val="center"/>
                </w:tcPr>
                <w:p w14:paraId="1248204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61595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156493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铜、锌、铅、镉的测定 原子吸收分光光度法GB 7475-87</w:t>
                  </w:r>
                </w:p>
              </w:tc>
              <w:tc>
                <w:tcPr>
                  <w:tcW w:w="83" w:type="pct"/>
                  <w:noWrap w:val="0"/>
                  <w:vAlign w:val="center"/>
                </w:tcPr>
                <w:p w14:paraId="59929C7B">
                  <w:pPr>
                    <w:widowControl w:val="0"/>
                    <w:jc w:val="both"/>
                    <w:rPr>
                      <w:rFonts w:ascii="Calibri" w:hAnsi="Calibri"/>
                      <w:kern w:val="2"/>
                      <w:sz w:val="21"/>
                      <w:lang w:val="en-US" w:eastAsia="zh-CN" w:bidi="ar-SA"/>
                    </w:rPr>
                  </w:pPr>
                </w:p>
              </w:tc>
            </w:tr>
            <w:tr w14:paraId="6B4CD67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8991B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95</w:t>
                  </w:r>
                </w:p>
              </w:tc>
              <w:tc>
                <w:tcPr>
                  <w:tcW w:w="240" w:type="pct"/>
                  <w:noWrap w:val="0"/>
                  <w:vAlign w:val="center"/>
                </w:tcPr>
                <w:p w14:paraId="5C9D3A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0737B49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0AFE6D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98AE57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E619C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39EE9C2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459E07E">
                  <w:pPr>
                    <w:widowControl w:val="0"/>
                    <w:jc w:val="both"/>
                    <w:rPr>
                      <w:rFonts w:ascii="Calibri" w:hAnsi="Calibri"/>
                      <w:kern w:val="2"/>
                      <w:sz w:val="21"/>
                      <w:lang w:val="en-US" w:eastAsia="zh-CN" w:bidi="ar-SA"/>
                    </w:rPr>
                  </w:pPr>
                </w:p>
              </w:tc>
              <w:tc>
                <w:tcPr>
                  <w:tcW w:w="0" w:type="auto"/>
                  <w:noWrap w:val="0"/>
                  <w:vAlign w:val="center"/>
                </w:tcPr>
                <w:p w14:paraId="2A306BFE">
                  <w:pPr>
                    <w:widowControl w:val="0"/>
                    <w:jc w:val="both"/>
                    <w:rPr>
                      <w:rFonts w:ascii="Calibri" w:hAnsi="Calibri"/>
                      <w:kern w:val="2"/>
                      <w:sz w:val="21"/>
                      <w:lang w:val="en-US" w:eastAsia="zh-CN" w:bidi="ar-SA"/>
                    </w:rPr>
                  </w:pPr>
                </w:p>
              </w:tc>
              <w:tc>
                <w:tcPr>
                  <w:tcW w:w="0" w:type="auto"/>
                  <w:noWrap w:val="0"/>
                  <w:vAlign w:val="center"/>
                </w:tcPr>
                <w:p w14:paraId="49F55112">
                  <w:pPr>
                    <w:widowControl w:val="0"/>
                    <w:jc w:val="both"/>
                    <w:rPr>
                      <w:rFonts w:ascii="Calibri" w:hAnsi="Calibri"/>
                      <w:kern w:val="2"/>
                      <w:sz w:val="21"/>
                      <w:lang w:val="en-US" w:eastAsia="zh-CN" w:bidi="ar-SA"/>
                    </w:rPr>
                  </w:pPr>
                </w:p>
              </w:tc>
              <w:tc>
                <w:tcPr>
                  <w:tcW w:w="0" w:type="auto"/>
                  <w:noWrap w:val="0"/>
                  <w:vAlign w:val="center"/>
                </w:tcPr>
                <w:p w14:paraId="3B38621A">
                  <w:pPr>
                    <w:widowControl w:val="0"/>
                    <w:jc w:val="both"/>
                    <w:rPr>
                      <w:rFonts w:ascii="Calibri" w:hAnsi="Calibri"/>
                      <w:kern w:val="2"/>
                      <w:sz w:val="21"/>
                      <w:lang w:val="en-US" w:eastAsia="zh-CN" w:bidi="ar-SA"/>
                    </w:rPr>
                  </w:pPr>
                </w:p>
              </w:tc>
              <w:tc>
                <w:tcPr>
                  <w:tcW w:w="0" w:type="auto"/>
                  <w:noWrap w:val="0"/>
                  <w:vAlign w:val="center"/>
                </w:tcPr>
                <w:p w14:paraId="45FD5D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309A07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438823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六价铬的测定 二苯碳酰二肼分光光度法GB 7467-87</w:t>
                  </w:r>
                </w:p>
              </w:tc>
              <w:tc>
                <w:tcPr>
                  <w:tcW w:w="83" w:type="pct"/>
                  <w:noWrap w:val="0"/>
                  <w:vAlign w:val="center"/>
                </w:tcPr>
                <w:p w14:paraId="04AAFC94">
                  <w:pPr>
                    <w:widowControl w:val="0"/>
                    <w:jc w:val="both"/>
                    <w:rPr>
                      <w:rFonts w:ascii="Calibri" w:hAnsi="Calibri"/>
                      <w:kern w:val="2"/>
                      <w:sz w:val="21"/>
                      <w:lang w:val="en-US" w:eastAsia="zh-CN" w:bidi="ar-SA"/>
                    </w:rPr>
                  </w:pPr>
                </w:p>
              </w:tc>
            </w:tr>
            <w:tr w14:paraId="06C049F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31663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96</w:t>
                  </w:r>
                </w:p>
              </w:tc>
              <w:tc>
                <w:tcPr>
                  <w:tcW w:w="240" w:type="pct"/>
                  <w:noWrap w:val="0"/>
                  <w:vAlign w:val="center"/>
                </w:tcPr>
                <w:p w14:paraId="707E639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8D7F71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7924FF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186C88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2BBAB2B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5496AC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F9CE59C">
                  <w:pPr>
                    <w:widowControl w:val="0"/>
                    <w:jc w:val="both"/>
                    <w:rPr>
                      <w:rFonts w:ascii="Calibri" w:hAnsi="Calibri"/>
                      <w:kern w:val="2"/>
                      <w:sz w:val="21"/>
                      <w:lang w:val="en-US" w:eastAsia="zh-CN" w:bidi="ar-SA"/>
                    </w:rPr>
                  </w:pPr>
                </w:p>
              </w:tc>
              <w:tc>
                <w:tcPr>
                  <w:tcW w:w="0" w:type="auto"/>
                  <w:noWrap w:val="0"/>
                  <w:vAlign w:val="center"/>
                </w:tcPr>
                <w:p w14:paraId="3479AC2D">
                  <w:pPr>
                    <w:widowControl w:val="0"/>
                    <w:jc w:val="both"/>
                    <w:rPr>
                      <w:rFonts w:ascii="Calibri" w:hAnsi="Calibri"/>
                      <w:kern w:val="2"/>
                      <w:sz w:val="21"/>
                      <w:lang w:val="en-US" w:eastAsia="zh-CN" w:bidi="ar-SA"/>
                    </w:rPr>
                  </w:pPr>
                </w:p>
              </w:tc>
              <w:tc>
                <w:tcPr>
                  <w:tcW w:w="0" w:type="auto"/>
                  <w:noWrap w:val="0"/>
                  <w:vAlign w:val="center"/>
                </w:tcPr>
                <w:p w14:paraId="3CB0B9E2">
                  <w:pPr>
                    <w:widowControl w:val="0"/>
                    <w:jc w:val="both"/>
                    <w:rPr>
                      <w:rFonts w:ascii="Calibri" w:hAnsi="Calibri"/>
                      <w:kern w:val="2"/>
                      <w:sz w:val="21"/>
                      <w:lang w:val="en-US" w:eastAsia="zh-CN" w:bidi="ar-SA"/>
                    </w:rPr>
                  </w:pPr>
                </w:p>
              </w:tc>
              <w:tc>
                <w:tcPr>
                  <w:tcW w:w="0" w:type="auto"/>
                  <w:noWrap w:val="0"/>
                  <w:vAlign w:val="center"/>
                </w:tcPr>
                <w:p w14:paraId="6377FDBA">
                  <w:pPr>
                    <w:widowControl w:val="0"/>
                    <w:jc w:val="both"/>
                    <w:rPr>
                      <w:rFonts w:ascii="Calibri" w:hAnsi="Calibri"/>
                      <w:kern w:val="2"/>
                      <w:sz w:val="21"/>
                      <w:lang w:val="en-US" w:eastAsia="zh-CN" w:bidi="ar-SA"/>
                    </w:rPr>
                  </w:pPr>
                </w:p>
              </w:tc>
              <w:tc>
                <w:tcPr>
                  <w:tcW w:w="0" w:type="auto"/>
                  <w:noWrap w:val="0"/>
                  <w:vAlign w:val="center"/>
                </w:tcPr>
                <w:p w14:paraId="4CB98A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3DDAB2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5F699C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六价铬的测定 二苯碳酰二肼分光光度法GB 7467-87</w:t>
                  </w:r>
                </w:p>
              </w:tc>
              <w:tc>
                <w:tcPr>
                  <w:tcW w:w="83" w:type="pct"/>
                  <w:noWrap w:val="0"/>
                  <w:vAlign w:val="center"/>
                </w:tcPr>
                <w:p w14:paraId="044F1A7F">
                  <w:pPr>
                    <w:widowControl w:val="0"/>
                    <w:jc w:val="both"/>
                    <w:rPr>
                      <w:rFonts w:ascii="Calibri" w:hAnsi="Calibri"/>
                      <w:kern w:val="2"/>
                      <w:sz w:val="21"/>
                      <w:lang w:val="en-US" w:eastAsia="zh-CN" w:bidi="ar-SA"/>
                    </w:rPr>
                  </w:pPr>
                </w:p>
              </w:tc>
            </w:tr>
            <w:tr w14:paraId="062374F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ACC72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97</w:t>
                  </w:r>
                </w:p>
              </w:tc>
              <w:tc>
                <w:tcPr>
                  <w:tcW w:w="240" w:type="pct"/>
                  <w:noWrap w:val="0"/>
                  <w:vAlign w:val="center"/>
                </w:tcPr>
                <w:p w14:paraId="3517A9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27C93D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317C28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04383A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5E98B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六价铬</w:t>
                  </w:r>
                </w:p>
              </w:tc>
              <w:tc>
                <w:tcPr>
                  <w:tcW w:w="153" w:type="pct"/>
                  <w:noWrap w:val="0"/>
                  <w:vAlign w:val="center"/>
                </w:tcPr>
                <w:p w14:paraId="7258F6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630E686">
                  <w:pPr>
                    <w:widowControl w:val="0"/>
                    <w:jc w:val="both"/>
                    <w:rPr>
                      <w:rFonts w:ascii="Calibri" w:hAnsi="Calibri"/>
                      <w:kern w:val="2"/>
                      <w:sz w:val="21"/>
                      <w:lang w:val="en-US" w:eastAsia="zh-CN" w:bidi="ar-SA"/>
                    </w:rPr>
                  </w:pPr>
                </w:p>
              </w:tc>
              <w:tc>
                <w:tcPr>
                  <w:tcW w:w="0" w:type="auto"/>
                  <w:noWrap w:val="0"/>
                  <w:vAlign w:val="center"/>
                </w:tcPr>
                <w:p w14:paraId="7CA27BDE">
                  <w:pPr>
                    <w:widowControl w:val="0"/>
                    <w:jc w:val="both"/>
                    <w:rPr>
                      <w:rFonts w:ascii="Calibri" w:hAnsi="Calibri"/>
                      <w:kern w:val="2"/>
                      <w:sz w:val="21"/>
                      <w:lang w:val="en-US" w:eastAsia="zh-CN" w:bidi="ar-SA"/>
                    </w:rPr>
                  </w:pPr>
                </w:p>
              </w:tc>
              <w:tc>
                <w:tcPr>
                  <w:tcW w:w="0" w:type="auto"/>
                  <w:noWrap w:val="0"/>
                  <w:vAlign w:val="center"/>
                </w:tcPr>
                <w:p w14:paraId="7944881A">
                  <w:pPr>
                    <w:widowControl w:val="0"/>
                    <w:jc w:val="both"/>
                    <w:rPr>
                      <w:rFonts w:ascii="Calibri" w:hAnsi="Calibri"/>
                      <w:kern w:val="2"/>
                      <w:sz w:val="21"/>
                      <w:lang w:val="en-US" w:eastAsia="zh-CN" w:bidi="ar-SA"/>
                    </w:rPr>
                  </w:pPr>
                </w:p>
              </w:tc>
              <w:tc>
                <w:tcPr>
                  <w:tcW w:w="0" w:type="auto"/>
                  <w:noWrap w:val="0"/>
                  <w:vAlign w:val="center"/>
                </w:tcPr>
                <w:p w14:paraId="3A1E95F7">
                  <w:pPr>
                    <w:widowControl w:val="0"/>
                    <w:jc w:val="both"/>
                    <w:rPr>
                      <w:rFonts w:ascii="Calibri" w:hAnsi="Calibri"/>
                      <w:kern w:val="2"/>
                      <w:sz w:val="21"/>
                      <w:lang w:val="en-US" w:eastAsia="zh-CN" w:bidi="ar-SA"/>
                    </w:rPr>
                  </w:pPr>
                </w:p>
              </w:tc>
              <w:tc>
                <w:tcPr>
                  <w:tcW w:w="0" w:type="auto"/>
                  <w:noWrap w:val="0"/>
                  <w:vAlign w:val="center"/>
                </w:tcPr>
                <w:p w14:paraId="648A6D2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E483C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44DE1B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六价铬的测定 二苯碳酰二肼分光光度法GB 7467-87</w:t>
                  </w:r>
                </w:p>
              </w:tc>
              <w:tc>
                <w:tcPr>
                  <w:tcW w:w="83" w:type="pct"/>
                  <w:noWrap w:val="0"/>
                  <w:vAlign w:val="center"/>
                </w:tcPr>
                <w:p w14:paraId="7830D4FE">
                  <w:pPr>
                    <w:widowControl w:val="0"/>
                    <w:jc w:val="both"/>
                    <w:rPr>
                      <w:rFonts w:ascii="Calibri" w:hAnsi="Calibri"/>
                      <w:kern w:val="2"/>
                      <w:sz w:val="21"/>
                      <w:lang w:val="en-US" w:eastAsia="zh-CN" w:bidi="ar-SA"/>
                    </w:rPr>
                  </w:pPr>
                </w:p>
              </w:tc>
            </w:tr>
            <w:tr w14:paraId="081B973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14CBD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98</w:t>
                  </w:r>
                </w:p>
              </w:tc>
              <w:tc>
                <w:tcPr>
                  <w:tcW w:w="240" w:type="pct"/>
                  <w:noWrap w:val="0"/>
                  <w:vAlign w:val="center"/>
                </w:tcPr>
                <w:p w14:paraId="7706B66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F77F4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1B3D32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7120779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7C219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298BFA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5B1FFB9">
                  <w:pPr>
                    <w:widowControl w:val="0"/>
                    <w:jc w:val="both"/>
                    <w:rPr>
                      <w:rFonts w:ascii="Calibri" w:hAnsi="Calibri"/>
                      <w:kern w:val="2"/>
                      <w:sz w:val="21"/>
                      <w:lang w:val="en-US" w:eastAsia="zh-CN" w:bidi="ar-SA"/>
                    </w:rPr>
                  </w:pPr>
                </w:p>
              </w:tc>
              <w:tc>
                <w:tcPr>
                  <w:tcW w:w="0" w:type="auto"/>
                  <w:noWrap w:val="0"/>
                  <w:vAlign w:val="center"/>
                </w:tcPr>
                <w:p w14:paraId="46FFA024">
                  <w:pPr>
                    <w:widowControl w:val="0"/>
                    <w:jc w:val="both"/>
                    <w:rPr>
                      <w:rFonts w:ascii="Calibri" w:hAnsi="Calibri"/>
                      <w:kern w:val="2"/>
                      <w:sz w:val="21"/>
                      <w:lang w:val="en-US" w:eastAsia="zh-CN" w:bidi="ar-SA"/>
                    </w:rPr>
                  </w:pPr>
                </w:p>
              </w:tc>
              <w:tc>
                <w:tcPr>
                  <w:tcW w:w="0" w:type="auto"/>
                  <w:noWrap w:val="0"/>
                  <w:vAlign w:val="center"/>
                </w:tcPr>
                <w:p w14:paraId="50E93DE4">
                  <w:pPr>
                    <w:widowControl w:val="0"/>
                    <w:jc w:val="both"/>
                    <w:rPr>
                      <w:rFonts w:ascii="Calibri" w:hAnsi="Calibri"/>
                      <w:kern w:val="2"/>
                      <w:sz w:val="21"/>
                      <w:lang w:val="en-US" w:eastAsia="zh-CN" w:bidi="ar-SA"/>
                    </w:rPr>
                  </w:pPr>
                </w:p>
              </w:tc>
              <w:tc>
                <w:tcPr>
                  <w:tcW w:w="0" w:type="auto"/>
                  <w:noWrap w:val="0"/>
                  <w:vAlign w:val="center"/>
                </w:tcPr>
                <w:p w14:paraId="0534F479">
                  <w:pPr>
                    <w:widowControl w:val="0"/>
                    <w:jc w:val="both"/>
                    <w:rPr>
                      <w:rFonts w:ascii="Calibri" w:hAnsi="Calibri"/>
                      <w:kern w:val="2"/>
                      <w:sz w:val="21"/>
                      <w:lang w:val="en-US" w:eastAsia="zh-CN" w:bidi="ar-SA"/>
                    </w:rPr>
                  </w:pPr>
                </w:p>
              </w:tc>
              <w:tc>
                <w:tcPr>
                  <w:tcW w:w="0" w:type="auto"/>
                  <w:noWrap w:val="0"/>
                  <w:vAlign w:val="center"/>
                </w:tcPr>
                <w:p w14:paraId="0FBEFA8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E8A1DC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DED08F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总砷的测定 二乙基二硫代氨基甲酸银分光光度法GB 7485-87</w:t>
                  </w:r>
                </w:p>
              </w:tc>
              <w:tc>
                <w:tcPr>
                  <w:tcW w:w="83" w:type="pct"/>
                  <w:noWrap w:val="0"/>
                  <w:vAlign w:val="center"/>
                </w:tcPr>
                <w:p w14:paraId="6C69A34B">
                  <w:pPr>
                    <w:widowControl w:val="0"/>
                    <w:jc w:val="both"/>
                    <w:rPr>
                      <w:rFonts w:ascii="Calibri" w:hAnsi="Calibri"/>
                      <w:kern w:val="2"/>
                      <w:sz w:val="21"/>
                      <w:lang w:val="en-US" w:eastAsia="zh-CN" w:bidi="ar-SA"/>
                    </w:rPr>
                  </w:pPr>
                </w:p>
              </w:tc>
            </w:tr>
            <w:tr w14:paraId="18C8721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BB7FC3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99</w:t>
                  </w:r>
                </w:p>
              </w:tc>
              <w:tc>
                <w:tcPr>
                  <w:tcW w:w="240" w:type="pct"/>
                  <w:noWrap w:val="0"/>
                  <w:vAlign w:val="center"/>
                </w:tcPr>
                <w:p w14:paraId="10E1D0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022146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EC347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344A20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46BCDA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0066B0B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2D08214">
                  <w:pPr>
                    <w:widowControl w:val="0"/>
                    <w:jc w:val="both"/>
                    <w:rPr>
                      <w:rFonts w:ascii="Calibri" w:hAnsi="Calibri"/>
                      <w:kern w:val="2"/>
                      <w:sz w:val="21"/>
                      <w:lang w:val="en-US" w:eastAsia="zh-CN" w:bidi="ar-SA"/>
                    </w:rPr>
                  </w:pPr>
                </w:p>
              </w:tc>
              <w:tc>
                <w:tcPr>
                  <w:tcW w:w="0" w:type="auto"/>
                  <w:noWrap w:val="0"/>
                  <w:vAlign w:val="center"/>
                </w:tcPr>
                <w:p w14:paraId="2368C009">
                  <w:pPr>
                    <w:widowControl w:val="0"/>
                    <w:jc w:val="both"/>
                    <w:rPr>
                      <w:rFonts w:ascii="Calibri" w:hAnsi="Calibri"/>
                      <w:kern w:val="2"/>
                      <w:sz w:val="21"/>
                      <w:lang w:val="en-US" w:eastAsia="zh-CN" w:bidi="ar-SA"/>
                    </w:rPr>
                  </w:pPr>
                </w:p>
              </w:tc>
              <w:tc>
                <w:tcPr>
                  <w:tcW w:w="0" w:type="auto"/>
                  <w:noWrap w:val="0"/>
                  <w:vAlign w:val="center"/>
                </w:tcPr>
                <w:p w14:paraId="1F7A87AA">
                  <w:pPr>
                    <w:widowControl w:val="0"/>
                    <w:jc w:val="both"/>
                    <w:rPr>
                      <w:rFonts w:ascii="Calibri" w:hAnsi="Calibri"/>
                      <w:kern w:val="2"/>
                      <w:sz w:val="21"/>
                      <w:lang w:val="en-US" w:eastAsia="zh-CN" w:bidi="ar-SA"/>
                    </w:rPr>
                  </w:pPr>
                </w:p>
              </w:tc>
              <w:tc>
                <w:tcPr>
                  <w:tcW w:w="0" w:type="auto"/>
                  <w:noWrap w:val="0"/>
                  <w:vAlign w:val="center"/>
                </w:tcPr>
                <w:p w14:paraId="43FD88E8">
                  <w:pPr>
                    <w:widowControl w:val="0"/>
                    <w:jc w:val="both"/>
                    <w:rPr>
                      <w:rFonts w:ascii="Calibri" w:hAnsi="Calibri"/>
                      <w:kern w:val="2"/>
                      <w:sz w:val="21"/>
                      <w:lang w:val="en-US" w:eastAsia="zh-CN" w:bidi="ar-SA"/>
                    </w:rPr>
                  </w:pPr>
                </w:p>
              </w:tc>
              <w:tc>
                <w:tcPr>
                  <w:tcW w:w="0" w:type="auto"/>
                  <w:noWrap w:val="0"/>
                  <w:vAlign w:val="center"/>
                </w:tcPr>
                <w:p w14:paraId="148ABCA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7863CE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3A910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总砷的测定 二乙基二硫代氨基甲酸银分光光度法GB 7485-87</w:t>
                  </w:r>
                </w:p>
              </w:tc>
              <w:tc>
                <w:tcPr>
                  <w:tcW w:w="83" w:type="pct"/>
                  <w:noWrap w:val="0"/>
                  <w:vAlign w:val="center"/>
                </w:tcPr>
                <w:p w14:paraId="633F4B48">
                  <w:pPr>
                    <w:widowControl w:val="0"/>
                    <w:jc w:val="both"/>
                    <w:rPr>
                      <w:rFonts w:ascii="Calibri" w:hAnsi="Calibri"/>
                      <w:kern w:val="2"/>
                      <w:sz w:val="21"/>
                      <w:lang w:val="en-US" w:eastAsia="zh-CN" w:bidi="ar-SA"/>
                    </w:rPr>
                  </w:pPr>
                </w:p>
              </w:tc>
            </w:tr>
            <w:tr w14:paraId="7F1074C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29A69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100</w:t>
                  </w:r>
                </w:p>
              </w:tc>
              <w:tc>
                <w:tcPr>
                  <w:tcW w:w="240" w:type="pct"/>
                  <w:noWrap w:val="0"/>
                  <w:vAlign w:val="center"/>
                </w:tcPr>
                <w:p w14:paraId="3FA910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B1BC46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288ED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51E3CE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0F90D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总砷</w:t>
                  </w:r>
                </w:p>
              </w:tc>
              <w:tc>
                <w:tcPr>
                  <w:tcW w:w="153" w:type="pct"/>
                  <w:noWrap w:val="0"/>
                  <w:vAlign w:val="center"/>
                </w:tcPr>
                <w:p w14:paraId="4871CF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7B9FA07">
                  <w:pPr>
                    <w:widowControl w:val="0"/>
                    <w:jc w:val="both"/>
                    <w:rPr>
                      <w:rFonts w:ascii="Calibri" w:hAnsi="Calibri"/>
                      <w:kern w:val="2"/>
                      <w:sz w:val="21"/>
                      <w:lang w:val="en-US" w:eastAsia="zh-CN" w:bidi="ar-SA"/>
                    </w:rPr>
                  </w:pPr>
                </w:p>
              </w:tc>
              <w:tc>
                <w:tcPr>
                  <w:tcW w:w="0" w:type="auto"/>
                  <w:noWrap w:val="0"/>
                  <w:vAlign w:val="center"/>
                </w:tcPr>
                <w:p w14:paraId="7CFB3331">
                  <w:pPr>
                    <w:widowControl w:val="0"/>
                    <w:jc w:val="both"/>
                    <w:rPr>
                      <w:rFonts w:ascii="Calibri" w:hAnsi="Calibri"/>
                      <w:kern w:val="2"/>
                      <w:sz w:val="21"/>
                      <w:lang w:val="en-US" w:eastAsia="zh-CN" w:bidi="ar-SA"/>
                    </w:rPr>
                  </w:pPr>
                </w:p>
              </w:tc>
              <w:tc>
                <w:tcPr>
                  <w:tcW w:w="0" w:type="auto"/>
                  <w:noWrap w:val="0"/>
                  <w:vAlign w:val="center"/>
                </w:tcPr>
                <w:p w14:paraId="12536249">
                  <w:pPr>
                    <w:widowControl w:val="0"/>
                    <w:jc w:val="both"/>
                    <w:rPr>
                      <w:rFonts w:ascii="Calibri" w:hAnsi="Calibri"/>
                      <w:kern w:val="2"/>
                      <w:sz w:val="21"/>
                      <w:lang w:val="en-US" w:eastAsia="zh-CN" w:bidi="ar-SA"/>
                    </w:rPr>
                  </w:pPr>
                </w:p>
              </w:tc>
              <w:tc>
                <w:tcPr>
                  <w:tcW w:w="0" w:type="auto"/>
                  <w:noWrap w:val="0"/>
                  <w:vAlign w:val="center"/>
                </w:tcPr>
                <w:p w14:paraId="2FBD6A68">
                  <w:pPr>
                    <w:widowControl w:val="0"/>
                    <w:jc w:val="both"/>
                    <w:rPr>
                      <w:rFonts w:ascii="Calibri" w:hAnsi="Calibri"/>
                      <w:kern w:val="2"/>
                      <w:sz w:val="21"/>
                      <w:lang w:val="en-US" w:eastAsia="zh-CN" w:bidi="ar-SA"/>
                    </w:rPr>
                  </w:pPr>
                </w:p>
              </w:tc>
              <w:tc>
                <w:tcPr>
                  <w:tcW w:w="0" w:type="auto"/>
                  <w:noWrap w:val="0"/>
                  <w:vAlign w:val="center"/>
                </w:tcPr>
                <w:p w14:paraId="3B83B7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B382DF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CE6FE5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总砷的测定 二乙基二硫代氨基甲酸银分光光度法GB 7485-87</w:t>
                  </w:r>
                </w:p>
              </w:tc>
              <w:tc>
                <w:tcPr>
                  <w:tcW w:w="83" w:type="pct"/>
                  <w:noWrap w:val="0"/>
                  <w:vAlign w:val="center"/>
                </w:tcPr>
                <w:p w14:paraId="22F4E651">
                  <w:pPr>
                    <w:widowControl w:val="0"/>
                    <w:jc w:val="both"/>
                    <w:rPr>
                      <w:rFonts w:ascii="Calibri" w:hAnsi="Calibri"/>
                      <w:kern w:val="2"/>
                      <w:sz w:val="21"/>
                      <w:lang w:val="en-US" w:eastAsia="zh-CN" w:bidi="ar-SA"/>
                    </w:rPr>
                  </w:pPr>
                </w:p>
              </w:tc>
            </w:tr>
            <w:tr w14:paraId="3E57796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EF8281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101</w:t>
                  </w:r>
                </w:p>
              </w:tc>
              <w:tc>
                <w:tcPr>
                  <w:tcW w:w="240" w:type="pct"/>
                  <w:noWrap w:val="0"/>
                  <w:vAlign w:val="center"/>
                </w:tcPr>
                <w:p w14:paraId="550BC65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B4F77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4770A3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518DB6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DAB74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5765FFC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7A604DE">
                  <w:pPr>
                    <w:widowControl w:val="0"/>
                    <w:jc w:val="both"/>
                    <w:rPr>
                      <w:rFonts w:ascii="Calibri" w:hAnsi="Calibri"/>
                      <w:kern w:val="2"/>
                      <w:sz w:val="21"/>
                      <w:lang w:val="en-US" w:eastAsia="zh-CN" w:bidi="ar-SA"/>
                    </w:rPr>
                  </w:pPr>
                </w:p>
              </w:tc>
              <w:tc>
                <w:tcPr>
                  <w:tcW w:w="0" w:type="auto"/>
                  <w:noWrap w:val="0"/>
                  <w:vAlign w:val="center"/>
                </w:tcPr>
                <w:p w14:paraId="536C6B09">
                  <w:pPr>
                    <w:widowControl w:val="0"/>
                    <w:jc w:val="both"/>
                    <w:rPr>
                      <w:rFonts w:ascii="Calibri" w:hAnsi="Calibri"/>
                      <w:kern w:val="2"/>
                      <w:sz w:val="21"/>
                      <w:lang w:val="en-US" w:eastAsia="zh-CN" w:bidi="ar-SA"/>
                    </w:rPr>
                  </w:pPr>
                </w:p>
              </w:tc>
              <w:tc>
                <w:tcPr>
                  <w:tcW w:w="0" w:type="auto"/>
                  <w:noWrap w:val="0"/>
                  <w:vAlign w:val="center"/>
                </w:tcPr>
                <w:p w14:paraId="5B1FDB79">
                  <w:pPr>
                    <w:widowControl w:val="0"/>
                    <w:jc w:val="both"/>
                    <w:rPr>
                      <w:rFonts w:ascii="Calibri" w:hAnsi="Calibri"/>
                      <w:kern w:val="2"/>
                      <w:sz w:val="21"/>
                      <w:lang w:val="en-US" w:eastAsia="zh-CN" w:bidi="ar-SA"/>
                    </w:rPr>
                  </w:pPr>
                </w:p>
              </w:tc>
              <w:tc>
                <w:tcPr>
                  <w:tcW w:w="0" w:type="auto"/>
                  <w:noWrap w:val="0"/>
                  <w:vAlign w:val="center"/>
                </w:tcPr>
                <w:p w14:paraId="5E1BE7FC">
                  <w:pPr>
                    <w:widowControl w:val="0"/>
                    <w:jc w:val="both"/>
                    <w:rPr>
                      <w:rFonts w:ascii="Calibri" w:hAnsi="Calibri"/>
                      <w:kern w:val="2"/>
                      <w:sz w:val="21"/>
                      <w:lang w:val="en-US" w:eastAsia="zh-CN" w:bidi="ar-SA"/>
                    </w:rPr>
                  </w:pPr>
                </w:p>
              </w:tc>
              <w:tc>
                <w:tcPr>
                  <w:tcW w:w="0" w:type="auto"/>
                  <w:noWrap w:val="0"/>
                  <w:vAlign w:val="center"/>
                </w:tcPr>
                <w:p w14:paraId="2350271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BFB70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43EADB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铜、锌、铅、镉的测定 原子吸收分光光度法GB 7475-87</w:t>
                  </w:r>
                </w:p>
              </w:tc>
              <w:tc>
                <w:tcPr>
                  <w:tcW w:w="83" w:type="pct"/>
                  <w:noWrap w:val="0"/>
                  <w:vAlign w:val="center"/>
                </w:tcPr>
                <w:p w14:paraId="60B5C3EE">
                  <w:pPr>
                    <w:widowControl w:val="0"/>
                    <w:jc w:val="both"/>
                    <w:rPr>
                      <w:rFonts w:ascii="Calibri" w:hAnsi="Calibri"/>
                      <w:kern w:val="2"/>
                      <w:sz w:val="21"/>
                      <w:lang w:val="en-US" w:eastAsia="zh-CN" w:bidi="ar-SA"/>
                    </w:rPr>
                  </w:pPr>
                </w:p>
              </w:tc>
            </w:tr>
            <w:tr w14:paraId="66AB02E3">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04714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102</w:t>
                  </w:r>
                </w:p>
              </w:tc>
              <w:tc>
                <w:tcPr>
                  <w:tcW w:w="240" w:type="pct"/>
                  <w:noWrap w:val="0"/>
                  <w:vAlign w:val="center"/>
                </w:tcPr>
                <w:p w14:paraId="6654E68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6CF73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D18EB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4DFEFB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21C262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0D9C62B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54C2666">
                  <w:pPr>
                    <w:widowControl w:val="0"/>
                    <w:jc w:val="both"/>
                    <w:rPr>
                      <w:rFonts w:ascii="Calibri" w:hAnsi="Calibri"/>
                      <w:kern w:val="2"/>
                      <w:sz w:val="21"/>
                      <w:lang w:val="en-US" w:eastAsia="zh-CN" w:bidi="ar-SA"/>
                    </w:rPr>
                  </w:pPr>
                </w:p>
              </w:tc>
              <w:tc>
                <w:tcPr>
                  <w:tcW w:w="0" w:type="auto"/>
                  <w:noWrap w:val="0"/>
                  <w:vAlign w:val="center"/>
                </w:tcPr>
                <w:p w14:paraId="76735EA4">
                  <w:pPr>
                    <w:widowControl w:val="0"/>
                    <w:jc w:val="both"/>
                    <w:rPr>
                      <w:rFonts w:ascii="Calibri" w:hAnsi="Calibri"/>
                      <w:kern w:val="2"/>
                      <w:sz w:val="21"/>
                      <w:lang w:val="en-US" w:eastAsia="zh-CN" w:bidi="ar-SA"/>
                    </w:rPr>
                  </w:pPr>
                </w:p>
              </w:tc>
              <w:tc>
                <w:tcPr>
                  <w:tcW w:w="0" w:type="auto"/>
                  <w:noWrap w:val="0"/>
                  <w:vAlign w:val="center"/>
                </w:tcPr>
                <w:p w14:paraId="73CDB0B1">
                  <w:pPr>
                    <w:widowControl w:val="0"/>
                    <w:jc w:val="both"/>
                    <w:rPr>
                      <w:rFonts w:ascii="Calibri" w:hAnsi="Calibri"/>
                      <w:kern w:val="2"/>
                      <w:sz w:val="21"/>
                      <w:lang w:val="en-US" w:eastAsia="zh-CN" w:bidi="ar-SA"/>
                    </w:rPr>
                  </w:pPr>
                </w:p>
              </w:tc>
              <w:tc>
                <w:tcPr>
                  <w:tcW w:w="0" w:type="auto"/>
                  <w:noWrap w:val="0"/>
                  <w:vAlign w:val="center"/>
                </w:tcPr>
                <w:p w14:paraId="00F8BF75">
                  <w:pPr>
                    <w:widowControl w:val="0"/>
                    <w:jc w:val="both"/>
                    <w:rPr>
                      <w:rFonts w:ascii="Calibri" w:hAnsi="Calibri"/>
                      <w:kern w:val="2"/>
                      <w:sz w:val="21"/>
                      <w:lang w:val="en-US" w:eastAsia="zh-CN" w:bidi="ar-SA"/>
                    </w:rPr>
                  </w:pPr>
                </w:p>
              </w:tc>
              <w:tc>
                <w:tcPr>
                  <w:tcW w:w="0" w:type="auto"/>
                  <w:noWrap w:val="0"/>
                  <w:vAlign w:val="center"/>
                </w:tcPr>
                <w:p w14:paraId="618040A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FDEB74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A1EDF0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铜、锌、铅、镉的测定 原子吸收分光光度法GB 7475-87</w:t>
                  </w:r>
                </w:p>
              </w:tc>
              <w:tc>
                <w:tcPr>
                  <w:tcW w:w="83" w:type="pct"/>
                  <w:noWrap w:val="0"/>
                  <w:vAlign w:val="center"/>
                </w:tcPr>
                <w:p w14:paraId="38591033">
                  <w:pPr>
                    <w:widowControl w:val="0"/>
                    <w:jc w:val="both"/>
                    <w:rPr>
                      <w:rFonts w:ascii="Calibri" w:hAnsi="Calibri"/>
                      <w:kern w:val="2"/>
                      <w:sz w:val="21"/>
                      <w:lang w:val="en-US" w:eastAsia="zh-CN" w:bidi="ar-SA"/>
                    </w:rPr>
                  </w:pPr>
                </w:p>
              </w:tc>
            </w:tr>
            <w:tr w14:paraId="1F1C7A5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A9184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103</w:t>
                  </w:r>
                </w:p>
              </w:tc>
              <w:tc>
                <w:tcPr>
                  <w:tcW w:w="240" w:type="pct"/>
                  <w:noWrap w:val="0"/>
                  <w:vAlign w:val="center"/>
                </w:tcPr>
                <w:p w14:paraId="1E34936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43C317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04A6B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7E5BD1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031E49F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总铅</w:t>
                  </w:r>
                </w:p>
              </w:tc>
              <w:tc>
                <w:tcPr>
                  <w:tcW w:w="153" w:type="pct"/>
                  <w:noWrap w:val="0"/>
                  <w:vAlign w:val="center"/>
                </w:tcPr>
                <w:p w14:paraId="10BA82A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289273A">
                  <w:pPr>
                    <w:widowControl w:val="0"/>
                    <w:jc w:val="both"/>
                    <w:rPr>
                      <w:rFonts w:ascii="Calibri" w:hAnsi="Calibri"/>
                      <w:kern w:val="2"/>
                      <w:sz w:val="21"/>
                      <w:lang w:val="en-US" w:eastAsia="zh-CN" w:bidi="ar-SA"/>
                    </w:rPr>
                  </w:pPr>
                </w:p>
              </w:tc>
              <w:tc>
                <w:tcPr>
                  <w:tcW w:w="0" w:type="auto"/>
                  <w:noWrap w:val="0"/>
                  <w:vAlign w:val="center"/>
                </w:tcPr>
                <w:p w14:paraId="1C6C6088">
                  <w:pPr>
                    <w:widowControl w:val="0"/>
                    <w:jc w:val="both"/>
                    <w:rPr>
                      <w:rFonts w:ascii="Calibri" w:hAnsi="Calibri"/>
                      <w:kern w:val="2"/>
                      <w:sz w:val="21"/>
                      <w:lang w:val="en-US" w:eastAsia="zh-CN" w:bidi="ar-SA"/>
                    </w:rPr>
                  </w:pPr>
                </w:p>
              </w:tc>
              <w:tc>
                <w:tcPr>
                  <w:tcW w:w="0" w:type="auto"/>
                  <w:noWrap w:val="0"/>
                  <w:vAlign w:val="center"/>
                </w:tcPr>
                <w:p w14:paraId="4F60838D">
                  <w:pPr>
                    <w:widowControl w:val="0"/>
                    <w:jc w:val="both"/>
                    <w:rPr>
                      <w:rFonts w:ascii="Calibri" w:hAnsi="Calibri"/>
                      <w:kern w:val="2"/>
                      <w:sz w:val="21"/>
                      <w:lang w:val="en-US" w:eastAsia="zh-CN" w:bidi="ar-SA"/>
                    </w:rPr>
                  </w:pPr>
                </w:p>
              </w:tc>
              <w:tc>
                <w:tcPr>
                  <w:tcW w:w="0" w:type="auto"/>
                  <w:noWrap w:val="0"/>
                  <w:vAlign w:val="center"/>
                </w:tcPr>
                <w:p w14:paraId="50EB473D">
                  <w:pPr>
                    <w:widowControl w:val="0"/>
                    <w:jc w:val="both"/>
                    <w:rPr>
                      <w:rFonts w:ascii="Calibri" w:hAnsi="Calibri"/>
                      <w:kern w:val="2"/>
                      <w:sz w:val="21"/>
                      <w:lang w:val="en-US" w:eastAsia="zh-CN" w:bidi="ar-SA"/>
                    </w:rPr>
                  </w:pPr>
                </w:p>
              </w:tc>
              <w:tc>
                <w:tcPr>
                  <w:tcW w:w="0" w:type="auto"/>
                  <w:noWrap w:val="0"/>
                  <w:vAlign w:val="center"/>
                </w:tcPr>
                <w:p w14:paraId="2E0053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C71D04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0041BD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铜、锌、铅、镉的测定 原子吸收分光光度法GB 7475-87</w:t>
                  </w:r>
                </w:p>
              </w:tc>
              <w:tc>
                <w:tcPr>
                  <w:tcW w:w="83" w:type="pct"/>
                  <w:noWrap w:val="0"/>
                  <w:vAlign w:val="center"/>
                </w:tcPr>
                <w:p w14:paraId="7F3302D8">
                  <w:pPr>
                    <w:widowControl w:val="0"/>
                    <w:jc w:val="both"/>
                    <w:rPr>
                      <w:rFonts w:ascii="Calibri" w:hAnsi="Calibri"/>
                      <w:kern w:val="2"/>
                      <w:sz w:val="21"/>
                      <w:lang w:val="en-US" w:eastAsia="zh-CN" w:bidi="ar-SA"/>
                    </w:rPr>
                  </w:pPr>
                </w:p>
              </w:tc>
            </w:tr>
            <w:tr w14:paraId="029DDAE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6CEDA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104</w:t>
                  </w:r>
                </w:p>
              </w:tc>
              <w:tc>
                <w:tcPr>
                  <w:tcW w:w="240" w:type="pct"/>
                  <w:noWrap w:val="0"/>
                  <w:vAlign w:val="center"/>
                </w:tcPr>
                <w:p w14:paraId="515EE0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796D9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CE113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17DC57B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121827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4EC58D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031B710">
                  <w:pPr>
                    <w:widowControl w:val="0"/>
                    <w:jc w:val="both"/>
                    <w:rPr>
                      <w:rFonts w:ascii="Calibri" w:hAnsi="Calibri"/>
                      <w:kern w:val="2"/>
                      <w:sz w:val="21"/>
                      <w:lang w:val="en-US" w:eastAsia="zh-CN" w:bidi="ar-SA"/>
                    </w:rPr>
                  </w:pPr>
                </w:p>
              </w:tc>
              <w:tc>
                <w:tcPr>
                  <w:tcW w:w="0" w:type="auto"/>
                  <w:noWrap w:val="0"/>
                  <w:vAlign w:val="center"/>
                </w:tcPr>
                <w:p w14:paraId="733437D2">
                  <w:pPr>
                    <w:widowControl w:val="0"/>
                    <w:jc w:val="both"/>
                    <w:rPr>
                      <w:rFonts w:ascii="Calibri" w:hAnsi="Calibri"/>
                      <w:kern w:val="2"/>
                      <w:sz w:val="21"/>
                      <w:lang w:val="en-US" w:eastAsia="zh-CN" w:bidi="ar-SA"/>
                    </w:rPr>
                  </w:pPr>
                </w:p>
              </w:tc>
              <w:tc>
                <w:tcPr>
                  <w:tcW w:w="0" w:type="auto"/>
                  <w:noWrap w:val="0"/>
                  <w:vAlign w:val="center"/>
                </w:tcPr>
                <w:p w14:paraId="1666A7CA">
                  <w:pPr>
                    <w:widowControl w:val="0"/>
                    <w:jc w:val="both"/>
                    <w:rPr>
                      <w:rFonts w:ascii="Calibri" w:hAnsi="Calibri"/>
                      <w:kern w:val="2"/>
                      <w:sz w:val="21"/>
                      <w:lang w:val="en-US" w:eastAsia="zh-CN" w:bidi="ar-SA"/>
                    </w:rPr>
                  </w:pPr>
                </w:p>
              </w:tc>
              <w:tc>
                <w:tcPr>
                  <w:tcW w:w="0" w:type="auto"/>
                  <w:noWrap w:val="0"/>
                  <w:vAlign w:val="center"/>
                </w:tcPr>
                <w:p w14:paraId="1D51B66C">
                  <w:pPr>
                    <w:widowControl w:val="0"/>
                    <w:jc w:val="both"/>
                    <w:rPr>
                      <w:rFonts w:ascii="Calibri" w:hAnsi="Calibri"/>
                      <w:kern w:val="2"/>
                      <w:sz w:val="21"/>
                      <w:lang w:val="en-US" w:eastAsia="zh-CN" w:bidi="ar-SA"/>
                    </w:rPr>
                  </w:pPr>
                </w:p>
              </w:tc>
              <w:tc>
                <w:tcPr>
                  <w:tcW w:w="0" w:type="auto"/>
                  <w:noWrap w:val="0"/>
                  <w:vAlign w:val="center"/>
                </w:tcPr>
                <w:p w14:paraId="5419491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14688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C698E7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镍的测定 火焰原子吸收分光光度法GB 11912-89</w:t>
                  </w:r>
                </w:p>
              </w:tc>
              <w:tc>
                <w:tcPr>
                  <w:tcW w:w="83" w:type="pct"/>
                  <w:noWrap w:val="0"/>
                  <w:vAlign w:val="center"/>
                </w:tcPr>
                <w:p w14:paraId="6F999D7E">
                  <w:pPr>
                    <w:widowControl w:val="0"/>
                    <w:jc w:val="both"/>
                    <w:rPr>
                      <w:rFonts w:ascii="Calibri" w:hAnsi="Calibri"/>
                      <w:kern w:val="2"/>
                      <w:sz w:val="21"/>
                      <w:lang w:val="en-US" w:eastAsia="zh-CN" w:bidi="ar-SA"/>
                    </w:rPr>
                  </w:pPr>
                </w:p>
              </w:tc>
            </w:tr>
            <w:tr w14:paraId="09E5A525">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20606E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105</w:t>
                  </w:r>
                </w:p>
              </w:tc>
              <w:tc>
                <w:tcPr>
                  <w:tcW w:w="240" w:type="pct"/>
                  <w:noWrap w:val="0"/>
                  <w:vAlign w:val="center"/>
                </w:tcPr>
                <w:p w14:paraId="08D9C3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BBB84B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F0E340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33C744B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CCFBF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4EBC42B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9A2B04B">
                  <w:pPr>
                    <w:widowControl w:val="0"/>
                    <w:jc w:val="both"/>
                    <w:rPr>
                      <w:rFonts w:ascii="Calibri" w:hAnsi="Calibri"/>
                      <w:kern w:val="2"/>
                      <w:sz w:val="21"/>
                      <w:lang w:val="en-US" w:eastAsia="zh-CN" w:bidi="ar-SA"/>
                    </w:rPr>
                  </w:pPr>
                </w:p>
              </w:tc>
              <w:tc>
                <w:tcPr>
                  <w:tcW w:w="0" w:type="auto"/>
                  <w:noWrap w:val="0"/>
                  <w:vAlign w:val="center"/>
                </w:tcPr>
                <w:p w14:paraId="7CB38C31">
                  <w:pPr>
                    <w:widowControl w:val="0"/>
                    <w:jc w:val="both"/>
                    <w:rPr>
                      <w:rFonts w:ascii="Calibri" w:hAnsi="Calibri"/>
                      <w:kern w:val="2"/>
                      <w:sz w:val="21"/>
                      <w:lang w:val="en-US" w:eastAsia="zh-CN" w:bidi="ar-SA"/>
                    </w:rPr>
                  </w:pPr>
                </w:p>
              </w:tc>
              <w:tc>
                <w:tcPr>
                  <w:tcW w:w="0" w:type="auto"/>
                  <w:noWrap w:val="0"/>
                  <w:vAlign w:val="center"/>
                </w:tcPr>
                <w:p w14:paraId="5BCCB8F9">
                  <w:pPr>
                    <w:widowControl w:val="0"/>
                    <w:jc w:val="both"/>
                    <w:rPr>
                      <w:rFonts w:ascii="Calibri" w:hAnsi="Calibri"/>
                      <w:kern w:val="2"/>
                      <w:sz w:val="21"/>
                      <w:lang w:val="en-US" w:eastAsia="zh-CN" w:bidi="ar-SA"/>
                    </w:rPr>
                  </w:pPr>
                </w:p>
              </w:tc>
              <w:tc>
                <w:tcPr>
                  <w:tcW w:w="0" w:type="auto"/>
                  <w:noWrap w:val="0"/>
                  <w:vAlign w:val="center"/>
                </w:tcPr>
                <w:p w14:paraId="767E3A17">
                  <w:pPr>
                    <w:widowControl w:val="0"/>
                    <w:jc w:val="both"/>
                    <w:rPr>
                      <w:rFonts w:ascii="Calibri" w:hAnsi="Calibri"/>
                      <w:kern w:val="2"/>
                      <w:sz w:val="21"/>
                      <w:lang w:val="en-US" w:eastAsia="zh-CN" w:bidi="ar-SA"/>
                    </w:rPr>
                  </w:pPr>
                </w:p>
              </w:tc>
              <w:tc>
                <w:tcPr>
                  <w:tcW w:w="0" w:type="auto"/>
                  <w:noWrap w:val="0"/>
                  <w:vAlign w:val="center"/>
                </w:tcPr>
                <w:p w14:paraId="3D79D23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336125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70B21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镍的测定 火焰原子吸收分光光度法GB 11912-89</w:t>
                  </w:r>
                </w:p>
              </w:tc>
              <w:tc>
                <w:tcPr>
                  <w:tcW w:w="83" w:type="pct"/>
                  <w:noWrap w:val="0"/>
                  <w:vAlign w:val="center"/>
                </w:tcPr>
                <w:p w14:paraId="69EB1BDB">
                  <w:pPr>
                    <w:widowControl w:val="0"/>
                    <w:jc w:val="both"/>
                    <w:rPr>
                      <w:rFonts w:ascii="Calibri" w:hAnsi="Calibri"/>
                      <w:kern w:val="2"/>
                      <w:sz w:val="21"/>
                      <w:lang w:val="en-US" w:eastAsia="zh-CN" w:bidi="ar-SA"/>
                    </w:rPr>
                  </w:pPr>
                </w:p>
              </w:tc>
            </w:tr>
            <w:tr w14:paraId="006625E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7A62C7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106</w:t>
                  </w:r>
                </w:p>
              </w:tc>
              <w:tc>
                <w:tcPr>
                  <w:tcW w:w="240" w:type="pct"/>
                  <w:noWrap w:val="0"/>
                  <w:vAlign w:val="center"/>
                </w:tcPr>
                <w:p w14:paraId="7C8C3AE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9C1FCC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337FD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518FD9B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E6B36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总镍</w:t>
                  </w:r>
                </w:p>
              </w:tc>
              <w:tc>
                <w:tcPr>
                  <w:tcW w:w="153" w:type="pct"/>
                  <w:noWrap w:val="0"/>
                  <w:vAlign w:val="center"/>
                </w:tcPr>
                <w:p w14:paraId="42960EB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46F5DB5">
                  <w:pPr>
                    <w:widowControl w:val="0"/>
                    <w:jc w:val="both"/>
                    <w:rPr>
                      <w:rFonts w:ascii="Calibri" w:hAnsi="Calibri"/>
                      <w:kern w:val="2"/>
                      <w:sz w:val="21"/>
                      <w:lang w:val="en-US" w:eastAsia="zh-CN" w:bidi="ar-SA"/>
                    </w:rPr>
                  </w:pPr>
                </w:p>
              </w:tc>
              <w:tc>
                <w:tcPr>
                  <w:tcW w:w="0" w:type="auto"/>
                  <w:noWrap w:val="0"/>
                  <w:vAlign w:val="center"/>
                </w:tcPr>
                <w:p w14:paraId="59DF5EB1">
                  <w:pPr>
                    <w:widowControl w:val="0"/>
                    <w:jc w:val="both"/>
                    <w:rPr>
                      <w:rFonts w:ascii="Calibri" w:hAnsi="Calibri"/>
                      <w:kern w:val="2"/>
                      <w:sz w:val="21"/>
                      <w:lang w:val="en-US" w:eastAsia="zh-CN" w:bidi="ar-SA"/>
                    </w:rPr>
                  </w:pPr>
                </w:p>
              </w:tc>
              <w:tc>
                <w:tcPr>
                  <w:tcW w:w="0" w:type="auto"/>
                  <w:noWrap w:val="0"/>
                  <w:vAlign w:val="center"/>
                </w:tcPr>
                <w:p w14:paraId="1B7DC49E">
                  <w:pPr>
                    <w:widowControl w:val="0"/>
                    <w:jc w:val="both"/>
                    <w:rPr>
                      <w:rFonts w:ascii="Calibri" w:hAnsi="Calibri"/>
                      <w:kern w:val="2"/>
                      <w:sz w:val="21"/>
                      <w:lang w:val="en-US" w:eastAsia="zh-CN" w:bidi="ar-SA"/>
                    </w:rPr>
                  </w:pPr>
                </w:p>
              </w:tc>
              <w:tc>
                <w:tcPr>
                  <w:tcW w:w="0" w:type="auto"/>
                  <w:noWrap w:val="0"/>
                  <w:vAlign w:val="center"/>
                </w:tcPr>
                <w:p w14:paraId="039F9F03">
                  <w:pPr>
                    <w:widowControl w:val="0"/>
                    <w:jc w:val="both"/>
                    <w:rPr>
                      <w:rFonts w:ascii="Calibri" w:hAnsi="Calibri"/>
                      <w:kern w:val="2"/>
                      <w:sz w:val="21"/>
                      <w:lang w:val="en-US" w:eastAsia="zh-CN" w:bidi="ar-SA"/>
                    </w:rPr>
                  </w:pPr>
                </w:p>
              </w:tc>
              <w:tc>
                <w:tcPr>
                  <w:tcW w:w="0" w:type="auto"/>
                  <w:noWrap w:val="0"/>
                  <w:vAlign w:val="center"/>
                </w:tcPr>
                <w:p w14:paraId="5FF135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DD37A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59022B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镍的测定 火焰原子吸收分光光度法GB 11912-89</w:t>
                  </w:r>
                </w:p>
              </w:tc>
              <w:tc>
                <w:tcPr>
                  <w:tcW w:w="83" w:type="pct"/>
                  <w:noWrap w:val="0"/>
                  <w:vAlign w:val="center"/>
                </w:tcPr>
                <w:p w14:paraId="40405122">
                  <w:pPr>
                    <w:widowControl w:val="0"/>
                    <w:jc w:val="both"/>
                    <w:rPr>
                      <w:rFonts w:ascii="Calibri" w:hAnsi="Calibri"/>
                      <w:kern w:val="2"/>
                      <w:sz w:val="21"/>
                      <w:lang w:val="en-US" w:eastAsia="zh-CN" w:bidi="ar-SA"/>
                    </w:rPr>
                  </w:pPr>
                </w:p>
              </w:tc>
            </w:tr>
            <w:tr w14:paraId="084C24C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CF95AD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107</w:t>
                  </w:r>
                </w:p>
              </w:tc>
              <w:tc>
                <w:tcPr>
                  <w:tcW w:w="240" w:type="pct"/>
                  <w:noWrap w:val="0"/>
                  <w:vAlign w:val="center"/>
                </w:tcPr>
                <w:p w14:paraId="196629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AB3FE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F833F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1E3E92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351B1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09D897C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3F9E41D">
                  <w:pPr>
                    <w:widowControl w:val="0"/>
                    <w:jc w:val="both"/>
                    <w:rPr>
                      <w:rFonts w:ascii="Calibri" w:hAnsi="Calibri"/>
                      <w:kern w:val="2"/>
                      <w:sz w:val="21"/>
                      <w:lang w:val="en-US" w:eastAsia="zh-CN" w:bidi="ar-SA"/>
                    </w:rPr>
                  </w:pPr>
                </w:p>
              </w:tc>
              <w:tc>
                <w:tcPr>
                  <w:tcW w:w="0" w:type="auto"/>
                  <w:noWrap w:val="0"/>
                  <w:vAlign w:val="center"/>
                </w:tcPr>
                <w:p w14:paraId="26ECA636">
                  <w:pPr>
                    <w:widowControl w:val="0"/>
                    <w:jc w:val="both"/>
                    <w:rPr>
                      <w:rFonts w:ascii="Calibri" w:hAnsi="Calibri"/>
                      <w:kern w:val="2"/>
                      <w:sz w:val="21"/>
                      <w:lang w:val="en-US" w:eastAsia="zh-CN" w:bidi="ar-SA"/>
                    </w:rPr>
                  </w:pPr>
                </w:p>
              </w:tc>
              <w:tc>
                <w:tcPr>
                  <w:tcW w:w="0" w:type="auto"/>
                  <w:noWrap w:val="0"/>
                  <w:vAlign w:val="center"/>
                </w:tcPr>
                <w:p w14:paraId="3720A674">
                  <w:pPr>
                    <w:widowControl w:val="0"/>
                    <w:jc w:val="both"/>
                    <w:rPr>
                      <w:rFonts w:ascii="Calibri" w:hAnsi="Calibri"/>
                      <w:kern w:val="2"/>
                      <w:sz w:val="21"/>
                      <w:lang w:val="en-US" w:eastAsia="zh-CN" w:bidi="ar-SA"/>
                    </w:rPr>
                  </w:pPr>
                </w:p>
              </w:tc>
              <w:tc>
                <w:tcPr>
                  <w:tcW w:w="0" w:type="auto"/>
                  <w:noWrap w:val="0"/>
                  <w:vAlign w:val="center"/>
                </w:tcPr>
                <w:p w14:paraId="089789EC">
                  <w:pPr>
                    <w:widowControl w:val="0"/>
                    <w:jc w:val="both"/>
                    <w:rPr>
                      <w:rFonts w:ascii="Calibri" w:hAnsi="Calibri"/>
                      <w:kern w:val="2"/>
                      <w:sz w:val="21"/>
                      <w:lang w:val="en-US" w:eastAsia="zh-CN" w:bidi="ar-SA"/>
                    </w:rPr>
                  </w:pPr>
                </w:p>
              </w:tc>
              <w:tc>
                <w:tcPr>
                  <w:tcW w:w="0" w:type="auto"/>
                  <w:noWrap w:val="0"/>
                  <w:vAlign w:val="center"/>
                </w:tcPr>
                <w:p w14:paraId="30B2858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EBC279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50AF2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铜的测定 2，9-二甲基-1，10-菲啰啉分光光度法HJ 486—2009 代替GB 7473—87</w:t>
                  </w:r>
                </w:p>
              </w:tc>
              <w:tc>
                <w:tcPr>
                  <w:tcW w:w="83" w:type="pct"/>
                  <w:noWrap w:val="0"/>
                  <w:vAlign w:val="center"/>
                </w:tcPr>
                <w:p w14:paraId="5C23474F">
                  <w:pPr>
                    <w:widowControl w:val="0"/>
                    <w:jc w:val="both"/>
                    <w:rPr>
                      <w:rFonts w:ascii="Calibri" w:hAnsi="Calibri"/>
                      <w:kern w:val="2"/>
                      <w:sz w:val="21"/>
                      <w:lang w:val="en-US" w:eastAsia="zh-CN" w:bidi="ar-SA"/>
                    </w:rPr>
                  </w:pPr>
                </w:p>
              </w:tc>
            </w:tr>
            <w:tr w14:paraId="4D6CF21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20C65E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108</w:t>
                  </w:r>
                </w:p>
              </w:tc>
              <w:tc>
                <w:tcPr>
                  <w:tcW w:w="240" w:type="pct"/>
                  <w:noWrap w:val="0"/>
                  <w:vAlign w:val="center"/>
                </w:tcPr>
                <w:p w14:paraId="01E71A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6FA0EAD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3EA72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40345C0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2DFE78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54BF508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B860B1E">
                  <w:pPr>
                    <w:widowControl w:val="0"/>
                    <w:jc w:val="both"/>
                    <w:rPr>
                      <w:rFonts w:ascii="Calibri" w:hAnsi="Calibri"/>
                      <w:kern w:val="2"/>
                      <w:sz w:val="21"/>
                      <w:lang w:val="en-US" w:eastAsia="zh-CN" w:bidi="ar-SA"/>
                    </w:rPr>
                  </w:pPr>
                </w:p>
              </w:tc>
              <w:tc>
                <w:tcPr>
                  <w:tcW w:w="0" w:type="auto"/>
                  <w:noWrap w:val="0"/>
                  <w:vAlign w:val="center"/>
                </w:tcPr>
                <w:p w14:paraId="78802F61">
                  <w:pPr>
                    <w:widowControl w:val="0"/>
                    <w:jc w:val="both"/>
                    <w:rPr>
                      <w:rFonts w:ascii="Calibri" w:hAnsi="Calibri"/>
                      <w:kern w:val="2"/>
                      <w:sz w:val="21"/>
                      <w:lang w:val="en-US" w:eastAsia="zh-CN" w:bidi="ar-SA"/>
                    </w:rPr>
                  </w:pPr>
                </w:p>
              </w:tc>
              <w:tc>
                <w:tcPr>
                  <w:tcW w:w="0" w:type="auto"/>
                  <w:noWrap w:val="0"/>
                  <w:vAlign w:val="center"/>
                </w:tcPr>
                <w:p w14:paraId="03F4F017">
                  <w:pPr>
                    <w:widowControl w:val="0"/>
                    <w:jc w:val="both"/>
                    <w:rPr>
                      <w:rFonts w:ascii="Calibri" w:hAnsi="Calibri"/>
                      <w:kern w:val="2"/>
                      <w:sz w:val="21"/>
                      <w:lang w:val="en-US" w:eastAsia="zh-CN" w:bidi="ar-SA"/>
                    </w:rPr>
                  </w:pPr>
                </w:p>
              </w:tc>
              <w:tc>
                <w:tcPr>
                  <w:tcW w:w="0" w:type="auto"/>
                  <w:noWrap w:val="0"/>
                  <w:vAlign w:val="center"/>
                </w:tcPr>
                <w:p w14:paraId="267921E4">
                  <w:pPr>
                    <w:widowControl w:val="0"/>
                    <w:jc w:val="both"/>
                    <w:rPr>
                      <w:rFonts w:ascii="Calibri" w:hAnsi="Calibri"/>
                      <w:kern w:val="2"/>
                      <w:sz w:val="21"/>
                      <w:lang w:val="en-US" w:eastAsia="zh-CN" w:bidi="ar-SA"/>
                    </w:rPr>
                  </w:pPr>
                </w:p>
              </w:tc>
              <w:tc>
                <w:tcPr>
                  <w:tcW w:w="0" w:type="auto"/>
                  <w:noWrap w:val="0"/>
                  <w:vAlign w:val="center"/>
                </w:tcPr>
                <w:p w14:paraId="68072B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69CC6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891FC7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铜的测定 2，9-二甲基-1，10-菲啰啉分光光度法HJ 486—2009 代替GB 7473—87</w:t>
                  </w:r>
                </w:p>
              </w:tc>
              <w:tc>
                <w:tcPr>
                  <w:tcW w:w="83" w:type="pct"/>
                  <w:noWrap w:val="0"/>
                  <w:vAlign w:val="center"/>
                </w:tcPr>
                <w:p w14:paraId="6DB0DBAF">
                  <w:pPr>
                    <w:widowControl w:val="0"/>
                    <w:jc w:val="both"/>
                    <w:rPr>
                      <w:rFonts w:ascii="Calibri" w:hAnsi="Calibri"/>
                      <w:kern w:val="2"/>
                      <w:sz w:val="21"/>
                      <w:lang w:val="en-US" w:eastAsia="zh-CN" w:bidi="ar-SA"/>
                    </w:rPr>
                  </w:pPr>
                </w:p>
              </w:tc>
            </w:tr>
            <w:tr w14:paraId="6F19297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E4D40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109</w:t>
                  </w:r>
                </w:p>
              </w:tc>
              <w:tc>
                <w:tcPr>
                  <w:tcW w:w="240" w:type="pct"/>
                  <w:noWrap w:val="0"/>
                  <w:vAlign w:val="center"/>
                </w:tcPr>
                <w:p w14:paraId="219607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CC432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784356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D8B7D8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28185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总铜</w:t>
                  </w:r>
                </w:p>
              </w:tc>
              <w:tc>
                <w:tcPr>
                  <w:tcW w:w="153" w:type="pct"/>
                  <w:noWrap w:val="0"/>
                  <w:vAlign w:val="center"/>
                </w:tcPr>
                <w:p w14:paraId="69082A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2FEBC52">
                  <w:pPr>
                    <w:widowControl w:val="0"/>
                    <w:jc w:val="both"/>
                    <w:rPr>
                      <w:rFonts w:ascii="Calibri" w:hAnsi="Calibri"/>
                      <w:kern w:val="2"/>
                      <w:sz w:val="21"/>
                      <w:lang w:val="en-US" w:eastAsia="zh-CN" w:bidi="ar-SA"/>
                    </w:rPr>
                  </w:pPr>
                </w:p>
              </w:tc>
              <w:tc>
                <w:tcPr>
                  <w:tcW w:w="0" w:type="auto"/>
                  <w:noWrap w:val="0"/>
                  <w:vAlign w:val="center"/>
                </w:tcPr>
                <w:p w14:paraId="7C01494F">
                  <w:pPr>
                    <w:widowControl w:val="0"/>
                    <w:jc w:val="both"/>
                    <w:rPr>
                      <w:rFonts w:ascii="Calibri" w:hAnsi="Calibri"/>
                      <w:kern w:val="2"/>
                      <w:sz w:val="21"/>
                      <w:lang w:val="en-US" w:eastAsia="zh-CN" w:bidi="ar-SA"/>
                    </w:rPr>
                  </w:pPr>
                </w:p>
              </w:tc>
              <w:tc>
                <w:tcPr>
                  <w:tcW w:w="0" w:type="auto"/>
                  <w:noWrap w:val="0"/>
                  <w:vAlign w:val="center"/>
                </w:tcPr>
                <w:p w14:paraId="45C41A1A">
                  <w:pPr>
                    <w:widowControl w:val="0"/>
                    <w:jc w:val="both"/>
                    <w:rPr>
                      <w:rFonts w:ascii="Calibri" w:hAnsi="Calibri"/>
                      <w:kern w:val="2"/>
                      <w:sz w:val="21"/>
                      <w:lang w:val="en-US" w:eastAsia="zh-CN" w:bidi="ar-SA"/>
                    </w:rPr>
                  </w:pPr>
                </w:p>
              </w:tc>
              <w:tc>
                <w:tcPr>
                  <w:tcW w:w="0" w:type="auto"/>
                  <w:noWrap w:val="0"/>
                  <w:vAlign w:val="center"/>
                </w:tcPr>
                <w:p w14:paraId="04D4940E">
                  <w:pPr>
                    <w:widowControl w:val="0"/>
                    <w:jc w:val="both"/>
                    <w:rPr>
                      <w:rFonts w:ascii="Calibri" w:hAnsi="Calibri"/>
                      <w:kern w:val="2"/>
                      <w:sz w:val="21"/>
                      <w:lang w:val="en-US" w:eastAsia="zh-CN" w:bidi="ar-SA"/>
                    </w:rPr>
                  </w:pPr>
                </w:p>
              </w:tc>
              <w:tc>
                <w:tcPr>
                  <w:tcW w:w="0" w:type="auto"/>
                  <w:noWrap w:val="0"/>
                  <w:vAlign w:val="center"/>
                </w:tcPr>
                <w:p w14:paraId="6472914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F7A6D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B7149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铜的测定 2，9-二甲基-1，10-菲啰啉分光光度法HJ 486—2009 代替GB 7473—87</w:t>
                  </w:r>
                </w:p>
              </w:tc>
              <w:tc>
                <w:tcPr>
                  <w:tcW w:w="83" w:type="pct"/>
                  <w:noWrap w:val="0"/>
                  <w:vAlign w:val="center"/>
                </w:tcPr>
                <w:p w14:paraId="3C5E5BD3">
                  <w:pPr>
                    <w:widowControl w:val="0"/>
                    <w:jc w:val="both"/>
                    <w:rPr>
                      <w:rFonts w:ascii="Calibri" w:hAnsi="Calibri"/>
                      <w:kern w:val="2"/>
                      <w:sz w:val="21"/>
                      <w:lang w:val="en-US" w:eastAsia="zh-CN" w:bidi="ar-SA"/>
                    </w:rPr>
                  </w:pPr>
                </w:p>
              </w:tc>
            </w:tr>
            <w:tr w14:paraId="7E82931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50266D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110</w:t>
                  </w:r>
                </w:p>
              </w:tc>
              <w:tc>
                <w:tcPr>
                  <w:tcW w:w="240" w:type="pct"/>
                  <w:noWrap w:val="0"/>
                  <w:vAlign w:val="center"/>
                </w:tcPr>
                <w:p w14:paraId="6FA244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9C47D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03A2A8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A19444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18D6A8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6C1D001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56863EE">
                  <w:pPr>
                    <w:widowControl w:val="0"/>
                    <w:jc w:val="both"/>
                    <w:rPr>
                      <w:rFonts w:ascii="Calibri" w:hAnsi="Calibri"/>
                      <w:kern w:val="2"/>
                      <w:sz w:val="21"/>
                      <w:lang w:val="en-US" w:eastAsia="zh-CN" w:bidi="ar-SA"/>
                    </w:rPr>
                  </w:pPr>
                </w:p>
              </w:tc>
              <w:tc>
                <w:tcPr>
                  <w:tcW w:w="0" w:type="auto"/>
                  <w:noWrap w:val="0"/>
                  <w:vAlign w:val="center"/>
                </w:tcPr>
                <w:p w14:paraId="5ECD7088">
                  <w:pPr>
                    <w:widowControl w:val="0"/>
                    <w:jc w:val="both"/>
                    <w:rPr>
                      <w:rFonts w:ascii="Calibri" w:hAnsi="Calibri"/>
                      <w:kern w:val="2"/>
                      <w:sz w:val="21"/>
                      <w:lang w:val="en-US" w:eastAsia="zh-CN" w:bidi="ar-SA"/>
                    </w:rPr>
                  </w:pPr>
                </w:p>
              </w:tc>
              <w:tc>
                <w:tcPr>
                  <w:tcW w:w="0" w:type="auto"/>
                  <w:noWrap w:val="0"/>
                  <w:vAlign w:val="center"/>
                </w:tcPr>
                <w:p w14:paraId="63E3719F">
                  <w:pPr>
                    <w:widowControl w:val="0"/>
                    <w:jc w:val="both"/>
                    <w:rPr>
                      <w:rFonts w:ascii="Calibri" w:hAnsi="Calibri"/>
                      <w:kern w:val="2"/>
                      <w:sz w:val="21"/>
                      <w:lang w:val="en-US" w:eastAsia="zh-CN" w:bidi="ar-SA"/>
                    </w:rPr>
                  </w:pPr>
                </w:p>
              </w:tc>
              <w:tc>
                <w:tcPr>
                  <w:tcW w:w="0" w:type="auto"/>
                  <w:noWrap w:val="0"/>
                  <w:vAlign w:val="center"/>
                </w:tcPr>
                <w:p w14:paraId="266B0EBA">
                  <w:pPr>
                    <w:widowControl w:val="0"/>
                    <w:jc w:val="both"/>
                    <w:rPr>
                      <w:rFonts w:ascii="Calibri" w:hAnsi="Calibri"/>
                      <w:kern w:val="2"/>
                      <w:sz w:val="21"/>
                      <w:lang w:val="en-US" w:eastAsia="zh-CN" w:bidi="ar-SA"/>
                    </w:rPr>
                  </w:pPr>
                </w:p>
              </w:tc>
              <w:tc>
                <w:tcPr>
                  <w:tcW w:w="0" w:type="auto"/>
                  <w:noWrap w:val="0"/>
                  <w:vAlign w:val="center"/>
                </w:tcPr>
                <w:p w14:paraId="37F391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D6C511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B32C8F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锌的测定 双硫腙分光光度法 GB/T 7472-1987</w:t>
                  </w:r>
                </w:p>
              </w:tc>
              <w:tc>
                <w:tcPr>
                  <w:tcW w:w="83" w:type="pct"/>
                  <w:noWrap w:val="0"/>
                  <w:vAlign w:val="center"/>
                </w:tcPr>
                <w:p w14:paraId="5234471E">
                  <w:pPr>
                    <w:widowControl w:val="0"/>
                    <w:jc w:val="both"/>
                    <w:rPr>
                      <w:rFonts w:ascii="Calibri" w:hAnsi="Calibri"/>
                      <w:kern w:val="2"/>
                      <w:sz w:val="21"/>
                      <w:lang w:val="en-US" w:eastAsia="zh-CN" w:bidi="ar-SA"/>
                    </w:rPr>
                  </w:pPr>
                </w:p>
              </w:tc>
            </w:tr>
            <w:tr w14:paraId="532E211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1E0EB5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111</w:t>
                  </w:r>
                </w:p>
              </w:tc>
              <w:tc>
                <w:tcPr>
                  <w:tcW w:w="240" w:type="pct"/>
                  <w:noWrap w:val="0"/>
                  <w:vAlign w:val="center"/>
                </w:tcPr>
                <w:p w14:paraId="08AC6C4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62CF25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772F43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1B06B0F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7FDCEF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1FB98C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82E7251">
                  <w:pPr>
                    <w:widowControl w:val="0"/>
                    <w:jc w:val="both"/>
                    <w:rPr>
                      <w:rFonts w:ascii="Calibri" w:hAnsi="Calibri"/>
                      <w:kern w:val="2"/>
                      <w:sz w:val="21"/>
                      <w:lang w:val="en-US" w:eastAsia="zh-CN" w:bidi="ar-SA"/>
                    </w:rPr>
                  </w:pPr>
                </w:p>
              </w:tc>
              <w:tc>
                <w:tcPr>
                  <w:tcW w:w="0" w:type="auto"/>
                  <w:noWrap w:val="0"/>
                  <w:vAlign w:val="center"/>
                </w:tcPr>
                <w:p w14:paraId="2716E22E">
                  <w:pPr>
                    <w:widowControl w:val="0"/>
                    <w:jc w:val="both"/>
                    <w:rPr>
                      <w:rFonts w:ascii="Calibri" w:hAnsi="Calibri"/>
                      <w:kern w:val="2"/>
                      <w:sz w:val="21"/>
                      <w:lang w:val="en-US" w:eastAsia="zh-CN" w:bidi="ar-SA"/>
                    </w:rPr>
                  </w:pPr>
                </w:p>
              </w:tc>
              <w:tc>
                <w:tcPr>
                  <w:tcW w:w="0" w:type="auto"/>
                  <w:noWrap w:val="0"/>
                  <w:vAlign w:val="center"/>
                </w:tcPr>
                <w:p w14:paraId="4AA3B59D">
                  <w:pPr>
                    <w:widowControl w:val="0"/>
                    <w:jc w:val="both"/>
                    <w:rPr>
                      <w:rFonts w:ascii="Calibri" w:hAnsi="Calibri"/>
                      <w:kern w:val="2"/>
                      <w:sz w:val="21"/>
                      <w:lang w:val="en-US" w:eastAsia="zh-CN" w:bidi="ar-SA"/>
                    </w:rPr>
                  </w:pPr>
                </w:p>
              </w:tc>
              <w:tc>
                <w:tcPr>
                  <w:tcW w:w="0" w:type="auto"/>
                  <w:noWrap w:val="0"/>
                  <w:vAlign w:val="center"/>
                </w:tcPr>
                <w:p w14:paraId="4ACB7EE7">
                  <w:pPr>
                    <w:widowControl w:val="0"/>
                    <w:jc w:val="both"/>
                    <w:rPr>
                      <w:rFonts w:ascii="Calibri" w:hAnsi="Calibri"/>
                      <w:kern w:val="2"/>
                      <w:sz w:val="21"/>
                      <w:lang w:val="en-US" w:eastAsia="zh-CN" w:bidi="ar-SA"/>
                    </w:rPr>
                  </w:pPr>
                </w:p>
              </w:tc>
              <w:tc>
                <w:tcPr>
                  <w:tcW w:w="0" w:type="auto"/>
                  <w:noWrap w:val="0"/>
                  <w:vAlign w:val="center"/>
                </w:tcPr>
                <w:p w14:paraId="15FCA3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8EA865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678108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锌的测定 双硫腙分光光度法 GB/T 7472-1987</w:t>
                  </w:r>
                </w:p>
              </w:tc>
              <w:tc>
                <w:tcPr>
                  <w:tcW w:w="83" w:type="pct"/>
                  <w:noWrap w:val="0"/>
                  <w:vAlign w:val="center"/>
                </w:tcPr>
                <w:p w14:paraId="2F008DA3">
                  <w:pPr>
                    <w:widowControl w:val="0"/>
                    <w:jc w:val="both"/>
                    <w:rPr>
                      <w:rFonts w:ascii="Calibri" w:hAnsi="Calibri"/>
                      <w:kern w:val="2"/>
                      <w:sz w:val="21"/>
                      <w:lang w:val="en-US" w:eastAsia="zh-CN" w:bidi="ar-SA"/>
                    </w:rPr>
                  </w:pPr>
                </w:p>
              </w:tc>
            </w:tr>
            <w:tr w14:paraId="1556A1F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F2E27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112</w:t>
                  </w:r>
                </w:p>
              </w:tc>
              <w:tc>
                <w:tcPr>
                  <w:tcW w:w="240" w:type="pct"/>
                  <w:noWrap w:val="0"/>
                  <w:vAlign w:val="center"/>
                </w:tcPr>
                <w:p w14:paraId="56EDE9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96C0E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F0802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7B53881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2DCC3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总锌</w:t>
                  </w:r>
                </w:p>
              </w:tc>
              <w:tc>
                <w:tcPr>
                  <w:tcW w:w="153" w:type="pct"/>
                  <w:noWrap w:val="0"/>
                  <w:vAlign w:val="center"/>
                </w:tcPr>
                <w:p w14:paraId="753262C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CE870C8">
                  <w:pPr>
                    <w:widowControl w:val="0"/>
                    <w:jc w:val="both"/>
                    <w:rPr>
                      <w:rFonts w:ascii="Calibri" w:hAnsi="Calibri"/>
                      <w:kern w:val="2"/>
                      <w:sz w:val="21"/>
                      <w:lang w:val="en-US" w:eastAsia="zh-CN" w:bidi="ar-SA"/>
                    </w:rPr>
                  </w:pPr>
                </w:p>
              </w:tc>
              <w:tc>
                <w:tcPr>
                  <w:tcW w:w="0" w:type="auto"/>
                  <w:noWrap w:val="0"/>
                  <w:vAlign w:val="center"/>
                </w:tcPr>
                <w:p w14:paraId="5A72C13F">
                  <w:pPr>
                    <w:widowControl w:val="0"/>
                    <w:jc w:val="both"/>
                    <w:rPr>
                      <w:rFonts w:ascii="Calibri" w:hAnsi="Calibri"/>
                      <w:kern w:val="2"/>
                      <w:sz w:val="21"/>
                      <w:lang w:val="en-US" w:eastAsia="zh-CN" w:bidi="ar-SA"/>
                    </w:rPr>
                  </w:pPr>
                </w:p>
              </w:tc>
              <w:tc>
                <w:tcPr>
                  <w:tcW w:w="0" w:type="auto"/>
                  <w:noWrap w:val="0"/>
                  <w:vAlign w:val="center"/>
                </w:tcPr>
                <w:p w14:paraId="4E968146">
                  <w:pPr>
                    <w:widowControl w:val="0"/>
                    <w:jc w:val="both"/>
                    <w:rPr>
                      <w:rFonts w:ascii="Calibri" w:hAnsi="Calibri"/>
                      <w:kern w:val="2"/>
                      <w:sz w:val="21"/>
                      <w:lang w:val="en-US" w:eastAsia="zh-CN" w:bidi="ar-SA"/>
                    </w:rPr>
                  </w:pPr>
                </w:p>
              </w:tc>
              <w:tc>
                <w:tcPr>
                  <w:tcW w:w="0" w:type="auto"/>
                  <w:noWrap w:val="0"/>
                  <w:vAlign w:val="center"/>
                </w:tcPr>
                <w:p w14:paraId="7D5ED299">
                  <w:pPr>
                    <w:widowControl w:val="0"/>
                    <w:jc w:val="both"/>
                    <w:rPr>
                      <w:rFonts w:ascii="Calibri" w:hAnsi="Calibri"/>
                      <w:kern w:val="2"/>
                      <w:sz w:val="21"/>
                      <w:lang w:val="en-US" w:eastAsia="zh-CN" w:bidi="ar-SA"/>
                    </w:rPr>
                  </w:pPr>
                </w:p>
              </w:tc>
              <w:tc>
                <w:tcPr>
                  <w:tcW w:w="0" w:type="auto"/>
                  <w:noWrap w:val="0"/>
                  <w:vAlign w:val="center"/>
                </w:tcPr>
                <w:p w14:paraId="466D8B6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A3CD0A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50E5652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锌的测定 双硫腙分光光度法 GB/T 7472-1987</w:t>
                  </w:r>
                </w:p>
              </w:tc>
              <w:tc>
                <w:tcPr>
                  <w:tcW w:w="83" w:type="pct"/>
                  <w:noWrap w:val="0"/>
                  <w:vAlign w:val="center"/>
                </w:tcPr>
                <w:p w14:paraId="1D499F5B">
                  <w:pPr>
                    <w:widowControl w:val="0"/>
                    <w:jc w:val="both"/>
                    <w:rPr>
                      <w:rFonts w:ascii="Calibri" w:hAnsi="Calibri"/>
                      <w:kern w:val="2"/>
                      <w:sz w:val="21"/>
                      <w:lang w:val="en-US" w:eastAsia="zh-CN" w:bidi="ar-SA"/>
                    </w:rPr>
                  </w:pPr>
                </w:p>
              </w:tc>
            </w:tr>
            <w:tr w14:paraId="05D3EE4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5908D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113</w:t>
                  </w:r>
                </w:p>
              </w:tc>
              <w:tc>
                <w:tcPr>
                  <w:tcW w:w="240" w:type="pct"/>
                  <w:noWrap w:val="0"/>
                  <w:vAlign w:val="center"/>
                </w:tcPr>
                <w:p w14:paraId="216DBB5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2C47F3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8B70F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5371CE0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2A8F82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总锰</w:t>
                  </w:r>
                </w:p>
              </w:tc>
              <w:tc>
                <w:tcPr>
                  <w:tcW w:w="153" w:type="pct"/>
                  <w:noWrap w:val="0"/>
                  <w:vAlign w:val="center"/>
                </w:tcPr>
                <w:p w14:paraId="30DE188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7532799">
                  <w:pPr>
                    <w:widowControl w:val="0"/>
                    <w:jc w:val="both"/>
                    <w:rPr>
                      <w:rFonts w:ascii="Calibri" w:hAnsi="Calibri"/>
                      <w:kern w:val="2"/>
                      <w:sz w:val="21"/>
                      <w:lang w:val="en-US" w:eastAsia="zh-CN" w:bidi="ar-SA"/>
                    </w:rPr>
                  </w:pPr>
                </w:p>
              </w:tc>
              <w:tc>
                <w:tcPr>
                  <w:tcW w:w="0" w:type="auto"/>
                  <w:noWrap w:val="0"/>
                  <w:vAlign w:val="center"/>
                </w:tcPr>
                <w:p w14:paraId="79444E76">
                  <w:pPr>
                    <w:widowControl w:val="0"/>
                    <w:jc w:val="both"/>
                    <w:rPr>
                      <w:rFonts w:ascii="Calibri" w:hAnsi="Calibri"/>
                      <w:kern w:val="2"/>
                      <w:sz w:val="21"/>
                      <w:lang w:val="en-US" w:eastAsia="zh-CN" w:bidi="ar-SA"/>
                    </w:rPr>
                  </w:pPr>
                </w:p>
              </w:tc>
              <w:tc>
                <w:tcPr>
                  <w:tcW w:w="0" w:type="auto"/>
                  <w:noWrap w:val="0"/>
                  <w:vAlign w:val="center"/>
                </w:tcPr>
                <w:p w14:paraId="6EDC9F8A">
                  <w:pPr>
                    <w:widowControl w:val="0"/>
                    <w:jc w:val="both"/>
                    <w:rPr>
                      <w:rFonts w:ascii="Calibri" w:hAnsi="Calibri"/>
                      <w:kern w:val="2"/>
                      <w:sz w:val="21"/>
                      <w:lang w:val="en-US" w:eastAsia="zh-CN" w:bidi="ar-SA"/>
                    </w:rPr>
                  </w:pPr>
                </w:p>
              </w:tc>
              <w:tc>
                <w:tcPr>
                  <w:tcW w:w="0" w:type="auto"/>
                  <w:noWrap w:val="0"/>
                  <w:vAlign w:val="center"/>
                </w:tcPr>
                <w:p w14:paraId="4A0E1412">
                  <w:pPr>
                    <w:widowControl w:val="0"/>
                    <w:jc w:val="both"/>
                    <w:rPr>
                      <w:rFonts w:ascii="Calibri" w:hAnsi="Calibri"/>
                      <w:kern w:val="2"/>
                      <w:sz w:val="21"/>
                      <w:lang w:val="en-US" w:eastAsia="zh-CN" w:bidi="ar-SA"/>
                    </w:rPr>
                  </w:pPr>
                </w:p>
              </w:tc>
              <w:tc>
                <w:tcPr>
                  <w:tcW w:w="0" w:type="auto"/>
                  <w:noWrap w:val="0"/>
                  <w:vAlign w:val="center"/>
                </w:tcPr>
                <w:p w14:paraId="5EA85B7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E88E2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0D8A29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 9 活饮用水标准检验方法 金属指标》（4.2 铜、铁、锰、锌、镉和铅 火 焰原子吸收分光光度法）（GB/T 5750.6-2022）</w:t>
                  </w:r>
                </w:p>
              </w:tc>
              <w:tc>
                <w:tcPr>
                  <w:tcW w:w="83" w:type="pct"/>
                  <w:noWrap w:val="0"/>
                  <w:vAlign w:val="center"/>
                </w:tcPr>
                <w:p w14:paraId="1E8DA2BF">
                  <w:pPr>
                    <w:widowControl w:val="0"/>
                    <w:jc w:val="both"/>
                    <w:rPr>
                      <w:rFonts w:ascii="Calibri" w:hAnsi="Calibri"/>
                      <w:kern w:val="2"/>
                      <w:sz w:val="21"/>
                      <w:lang w:val="en-US" w:eastAsia="zh-CN" w:bidi="ar-SA"/>
                    </w:rPr>
                  </w:pPr>
                </w:p>
              </w:tc>
            </w:tr>
            <w:tr w14:paraId="3F628C1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1BF32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114</w:t>
                  </w:r>
                </w:p>
              </w:tc>
              <w:tc>
                <w:tcPr>
                  <w:tcW w:w="240" w:type="pct"/>
                  <w:noWrap w:val="0"/>
                  <w:vAlign w:val="center"/>
                </w:tcPr>
                <w:p w14:paraId="5ABDBC9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42D5C1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BA0AE1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1ED82F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7BE31D0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总锰</w:t>
                  </w:r>
                </w:p>
              </w:tc>
              <w:tc>
                <w:tcPr>
                  <w:tcW w:w="153" w:type="pct"/>
                  <w:noWrap w:val="0"/>
                  <w:vAlign w:val="center"/>
                </w:tcPr>
                <w:p w14:paraId="652676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52E7DB5">
                  <w:pPr>
                    <w:widowControl w:val="0"/>
                    <w:jc w:val="both"/>
                    <w:rPr>
                      <w:rFonts w:ascii="Calibri" w:hAnsi="Calibri"/>
                      <w:kern w:val="2"/>
                      <w:sz w:val="21"/>
                      <w:lang w:val="en-US" w:eastAsia="zh-CN" w:bidi="ar-SA"/>
                    </w:rPr>
                  </w:pPr>
                </w:p>
              </w:tc>
              <w:tc>
                <w:tcPr>
                  <w:tcW w:w="0" w:type="auto"/>
                  <w:noWrap w:val="0"/>
                  <w:vAlign w:val="center"/>
                </w:tcPr>
                <w:p w14:paraId="78B858E7">
                  <w:pPr>
                    <w:widowControl w:val="0"/>
                    <w:jc w:val="both"/>
                    <w:rPr>
                      <w:rFonts w:ascii="Calibri" w:hAnsi="Calibri"/>
                      <w:kern w:val="2"/>
                      <w:sz w:val="21"/>
                      <w:lang w:val="en-US" w:eastAsia="zh-CN" w:bidi="ar-SA"/>
                    </w:rPr>
                  </w:pPr>
                </w:p>
              </w:tc>
              <w:tc>
                <w:tcPr>
                  <w:tcW w:w="0" w:type="auto"/>
                  <w:noWrap w:val="0"/>
                  <w:vAlign w:val="center"/>
                </w:tcPr>
                <w:p w14:paraId="3A4F8E12">
                  <w:pPr>
                    <w:widowControl w:val="0"/>
                    <w:jc w:val="both"/>
                    <w:rPr>
                      <w:rFonts w:ascii="Calibri" w:hAnsi="Calibri"/>
                      <w:kern w:val="2"/>
                      <w:sz w:val="21"/>
                      <w:lang w:val="en-US" w:eastAsia="zh-CN" w:bidi="ar-SA"/>
                    </w:rPr>
                  </w:pPr>
                </w:p>
              </w:tc>
              <w:tc>
                <w:tcPr>
                  <w:tcW w:w="0" w:type="auto"/>
                  <w:noWrap w:val="0"/>
                  <w:vAlign w:val="center"/>
                </w:tcPr>
                <w:p w14:paraId="15099936">
                  <w:pPr>
                    <w:widowControl w:val="0"/>
                    <w:jc w:val="both"/>
                    <w:rPr>
                      <w:rFonts w:ascii="Calibri" w:hAnsi="Calibri"/>
                      <w:kern w:val="2"/>
                      <w:sz w:val="21"/>
                      <w:lang w:val="en-US" w:eastAsia="zh-CN" w:bidi="ar-SA"/>
                    </w:rPr>
                  </w:pPr>
                </w:p>
              </w:tc>
              <w:tc>
                <w:tcPr>
                  <w:tcW w:w="0" w:type="auto"/>
                  <w:noWrap w:val="0"/>
                  <w:vAlign w:val="center"/>
                </w:tcPr>
                <w:p w14:paraId="2E20912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EE9A03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71D8B7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 9 活饮用水标准检验方法 金属指标》（4.2 铜、铁、锰、锌、镉和铅 火 焰原子吸收分光光度法）（GB/T 5750.6-2022）</w:t>
                  </w:r>
                </w:p>
              </w:tc>
              <w:tc>
                <w:tcPr>
                  <w:tcW w:w="83" w:type="pct"/>
                  <w:noWrap w:val="0"/>
                  <w:vAlign w:val="center"/>
                </w:tcPr>
                <w:p w14:paraId="50C33C86">
                  <w:pPr>
                    <w:widowControl w:val="0"/>
                    <w:jc w:val="both"/>
                    <w:rPr>
                      <w:rFonts w:ascii="Calibri" w:hAnsi="Calibri"/>
                      <w:kern w:val="2"/>
                      <w:sz w:val="21"/>
                      <w:lang w:val="en-US" w:eastAsia="zh-CN" w:bidi="ar-SA"/>
                    </w:rPr>
                  </w:pPr>
                </w:p>
              </w:tc>
            </w:tr>
            <w:tr w14:paraId="492FDAF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E73C8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115</w:t>
                  </w:r>
                </w:p>
              </w:tc>
              <w:tc>
                <w:tcPr>
                  <w:tcW w:w="240" w:type="pct"/>
                  <w:noWrap w:val="0"/>
                  <w:vAlign w:val="center"/>
                </w:tcPr>
                <w:p w14:paraId="4720E0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0419A1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703D7A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A0F29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F8C7C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总锰</w:t>
                  </w:r>
                </w:p>
              </w:tc>
              <w:tc>
                <w:tcPr>
                  <w:tcW w:w="153" w:type="pct"/>
                  <w:noWrap w:val="0"/>
                  <w:vAlign w:val="center"/>
                </w:tcPr>
                <w:p w14:paraId="07F85D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C2E798A">
                  <w:pPr>
                    <w:widowControl w:val="0"/>
                    <w:jc w:val="both"/>
                    <w:rPr>
                      <w:rFonts w:ascii="Calibri" w:hAnsi="Calibri"/>
                      <w:kern w:val="2"/>
                      <w:sz w:val="21"/>
                      <w:lang w:val="en-US" w:eastAsia="zh-CN" w:bidi="ar-SA"/>
                    </w:rPr>
                  </w:pPr>
                </w:p>
              </w:tc>
              <w:tc>
                <w:tcPr>
                  <w:tcW w:w="0" w:type="auto"/>
                  <w:noWrap w:val="0"/>
                  <w:vAlign w:val="center"/>
                </w:tcPr>
                <w:p w14:paraId="5372A4EA">
                  <w:pPr>
                    <w:widowControl w:val="0"/>
                    <w:jc w:val="both"/>
                    <w:rPr>
                      <w:rFonts w:ascii="Calibri" w:hAnsi="Calibri"/>
                      <w:kern w:val="2"/>
                      <w:sz w:val="21"/>
                      <w:lang w:val="en-US" w:eastAsia="zh-CN" w:bidi="ar-SA"/>
                    </w:rPr>
                  </w:pPr>
                </w:p>
              </w:tc>
              <w:tc>
                <w:tcPr>
                  <w:tcW w:w="0" w:type="auto"/>
                  <w:noWrap w:val="0"/>
                  <w:vAlign w:val="center"/>
                </w:tcPr>
                <w:p w14:paraId="250013AD">
                  <w:pPr>
                    <w:widowControl w:val="0"/>
                    <w:jc w:val="both"/>
                    <w:rPr>
                      <w:rFonts w:ascii="Calibri" w:hAnsi="Calibri"/>
                      <w:kern w:val="2"/>
                      <w:sz w:val="21"/>
                      <w:lang w:val="en-US" w:eastAsia="zh-CN" w:bidi="ar-SA"/>
                    </w:rPr>
                  </w:pPr>
                </w:p>
              </w:tc>
              <w:tc>
                <w:tcPr>
                  <w:tcW w:w="0" w:type="auto"/>
                  <w:noWrap w:val="0"/>
                  <w:vAlign w:val="center"/>
                </w:tcPr>
                <w:p w14:paraId="7F81CFBA">
                  <w:pPr>
                    <w:widowControl w:val="0"/>
                    <w:jc w:val="both"/>
                    <w:rPr>
                      <w:rFonts w:ascii="Calibri" w:hAnsi="Calibri"/>
                      <w:kern w:val="2"/>
                      <w:sz w:val="21"/>
                      <w:lang w:val="en-US" w:eastAsia="zh-CN" w:bidi="ar-SA"/>
                    </w:rPr>
                  </w:pPr>
                </w:p>
              </w:tc>
              <w:tc>
                <w:tcPr>
                  <w:tcW w:w="0" w:type="auto"/>
                  <w:noWrap w:val="0"/>
                  <w:vAlign w:val="center"/>
                </w:tcPr>
                <w:p w14:paraId="3CB7E6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EF2AED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F3E50A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 9 活饮用水标准检验方法 金属指标》（4.2 铜、铁、锰、锌、镉和铅 火 焰原子吸收分光光度法）（GB/T 5750.6-2022）</w:t>
                  </w:r>
                </w:p>
              </w:tc>
              <w:tc>
                <w:tcPr>
                  <w:tcW w:w="83" w:type="pct"/>
                  <w:noWrap w:val="0"/>
                  <w:vAlign w:val="center"/>
                </w:tcPr>
                <w:p w14:paraId="72A310F3">
                  <w:pPr>
                    <w:widowControl w:val="0"/>
                    <w:jc w:val="both"/>
                    <w:rPr>
                      <w:rFonts w:ascii="Calibri" w:hAnsi="Calibri"/>
                      <w:kern w:val="2"/>
                      <w:sz w:val="21"/>
                      <w:lang w:val="en-US" w:eastAsia="zh-CN" w:bidi="ar-SA"/>
                    </w:rPr>
                  </w:pPr>
                </w:p>
              </w:tc>
            </w:tr>
            <w:tr w14:paraId="27BA2CA3">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4C560D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116</w:t>
                  </w:r>
                </w:p>
              </w:tc>
              <w:tc>
                <w:tcPr>
                  <w:tcW w:w="240" w:type="pct"/>
                  <w:noWrap w:val="0"/>
                  <w:vAlign w:val="center"/>
                </w:tcPr>
                <w:p w14:paraId="6347A6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4A87D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7D9A87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63E367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7BE778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总铁</w:t>
                  </w:r>
                </w:p>
              </w:tc>
              <w:tc>
                <w:tcPr>
                  <w:tcW w:w="153" w:type="pct"/>
                  <w:noWrap w:val="0"/>
                  <w:vAlign w:val="center"/>
                </w:tcPr>
                <w:p w14:paraId="2AA953E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805DD75">
                  <w:pPr>
                    <w:widowControl w:val="0"/>
                    <w:jc w:val="both"/>
                    <w:rPr>
                      <w:rFonts w:ascii="Calibri" w:hAnsi="Calibri"/>
                      <w:kern w:val="2"/>
                      <w:sz w:val="21"/>
                      <w:lang w:val="en-US" w:eastAsia="zh-CN" w:bidi="ar-SA"/>
                    </w:rPr>
                  </w:pPr>
                </w:p>
              </w:tc>
              <w:tc>
                <w:tcPr>
                  <w:tcW w:w="0" w:type="auto"/>
                  <w:noWrap w:val="0"/>
                  <w:vAlign w:val="center"/>
                </w:tcPr>
                <w:p w14:paraId="70EB0A8F">
                  <w:pPr>
                    <w:widowControl w:val="0"/>
                    <w:jc w:val="both"/>
                    <w:rPr>
                      <w:rFonts w:ascii="Calibri" w:hAnsi="Calibri"/>
                      <w:kern w:val="2"/>
                      <w:sz w:val="21"/>
                      <w:lang w:val="en-US" w:eastAsia="zh-CN" w:bidi="ar-SA"/>
                    </w:rPr>
                  </w:pPr>
                </w:p>
              </w:tc>
              <w:tc>
                <w:tcPr>
                  <w:tcW w:w="0" w:type="auto"/>
                  <w:noWrap w:val="0"/>
                  <w:vAlign w:val="center"/>
                </w:tcPr>
                <w:p w14:paraId="525D7C71">
                  <w:pPr>
                    <w:widowControl w:val="0"/>
                    <w:jc w:val="both"/>
                    <w:rPr>
                      <w:rFonts w:ascii="Calibri" w:hAnsi="Calibri"/>
                      <w:kern w:val="2"/>
                      <w:sz w:val="21"/>
                      <w:lang w:val="en-US" w:eastAsia="zh-CN" w:bidi="ar-SA"/>
                    </w:rPr>
                  </w:pPr>
                </w:p>
              </w:tc>
              <w:tc>
                <w:tcPr>
                  <w:tcW w:w="0" w:type="auto"/>
                  <w:noWrap w:val="0"/>
                  <w:vAlign w:val="center"/>
                </w:tcPr>
                <w:p w14:paraId="4C8579FD">
                  <w:pPr>
                    <w:widowControl w:val="0"/>
                    <w:jc w:val="both"/>
                    <w:rPr>
                      <w:rFonts w:ascii="Calibri" w:hAnsi="Calibri"/>
                      <w:kern w:val="2"/>
                      <w:sz w:val="21"/>
                      <w:lang w:val="en-US" w:eastAsia="zh-CN" w:bidi="ar-SA"/>
                    </w:rPr>
                  </w:pPr>
                </w:p>
              </w:tc>
              <w:tc>
                <w:tcPr>
                  <w:tcW w:w="0" w:type="auto"/>
                  <w:noWrap w:val="0"/>
                  <w:vAlign w:val="center"/>
                </w:tcPr>
                <w:p w14:paraId="18EB08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14868E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C7022A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铁的测定 邻菲啰啉分光光度法（试行）HJ/T 345─ 2007</w:t>
                  </w:r>
                </w:p>
              </w:tc>
              <w:tc>
                <w:tcPr>
                  <w:tcW w:w="83" w:type="pct"/>
                  <w:noWrap w:val="0"/>
                  <w:vAlign w:val="center"/>
                </w:tcPr>
                <w:p w14:paraId="32BE2B46">
                  <w:pPr>
                    <w:widowControl w:val="0"/>
                    <w:jc w:val="both"/>
                    <w:rPr>
                      <w:rFonts w:ascii="Calibri" w:hAnsi="Calibri"/>
                      <w:kern w:val="2"/>
                      <w:sz w:val="21"/>
                      <w:lang w:val="en-US" w:eastAsia="zh-CN" w:bidi="ar-SA"/>
                    </w:rPr>
                  </w:pPr>
                </w:p>
              </w:tc>
            </w:tr>
            <w:tr w14:paraId="219CC13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AC9F26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117</w:t>
                  </w:r>
                </w:p>
              </w:tc>
              <w:tc>
                <w:tcPr>
                  <w:tcW w:w="240" w:type="pct"/>
                  <w:noWrap w:val="0"/>
                  <w:vAlign w:val="center"/>
                </w:tcPr>
                <w:p w14:paraId="02A11F2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E338BA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D0B35B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641A4D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40C7E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总铁</w:t>
                  </w:r>
                </w:p>
              </w:tc>
              <w:tc>
                <w:tcPr>
                  <w:tcW w:w="153" w:type="pct"/>
                  <w:noWrap w:val="0"/>
                  <w:vAlign w:val="center"/>
                </w:tcPr>
                <w:p w14:paraId="5A365D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EF8BD62">
                  <w:pPr>
                    <w:widowControl w:val="0"/>
                    <w:jc w:val="both"/>
                    <w:rPr>
                      <w:rFonts w:ascii="Calibri" w:hAnsi="Calibri"/>
                      <w:kern w:val="2"/>
                      <w:sz w:val="21"/>
                      <w:lang w:val="en-US" w:eastAsia="zh-CN" w:bidi="ar-SA"/>
                    </w:rPr>
                  </w:pPr>
                </w:p>
              </w:tc>
              <w:tc>
                <w:tcPr>
                  <w:tcW w:w="0" w:type="auto"/>
                  <w:noWrap w:val="0"/>
                  <w:vAlign w:val="center"/>
                </w:tcPr>
                <w:p w14:paraId="24683832">
                  <w:pPr>
                    <w:widowControl w:val="0"/>
                    <w:jc w:val="both"/>
                    <w:rPr>
                      <w:rFonts w:ascii="Calibri" w:hAnsi="Calibri"/>
                      <w:kern w:val="2"/>
                      <w:sz w:val="21"/>
                      <w:lang w:val="en-US" w:eastAsia="zh-CN" w:bidi="ar-SA"/>
                    </w:rPr>
                  </w:pPr>
                </w:p>
              </w:tc>
              <w:tc>
                <w:tcPr>
                  <w:tcW w:w="0" w:type="auto"/>
                  <w:noWrap w:val="0"/>
                  <w:vAlign w:val="center"/>
                </w:tcPr>
                <w:p w14:paraId="1E571190">
                  <w:pPr>
                    <w:widowControl w:val="0"/>
                    <w:jc w:val="both"/>
                    <w:rPr>
                      <w:rFonts w:ascii="Calibri" w:hAnsi="Calibri"/>
                      <w:kern w:val="2"/>
                      <w:sz w:val="21"/>
                      <w:lang w:val="en-US" w:eastAsia="zh-CN" w:bidi="ar-SA"/>
                    </w:rPr>
                  </w:pPr>
                </w:p>
              </w:tc>
              <w:tc>
                <w:tcPr>
                  <w:tcW w:w="0" w:type="auto"/>
                  <w:noWrap w:val="0"/>
                  <w:vAlign w:val="center"/>
                </w:tcPr>
                <w:p w14:paraId="15D0EF9D">
                  <w:pPr>
                    <w:widowControl w:val="0"/>
                    <w:jc w:val="both"/>
                    <w:rPr>
                      <w:rFonts w:ascii="Calibri" w:hAnsi="Calibri"/>
                      <w:kern w:val="2"/>
                      <w:sz w:val="21"/>
                      <w:lang w:val="en-US" w:eastAsia="zh-CN" w:bidi="ar-SA"/>
                    </w:rPr>
                  </w:pPr>
                </w:p>
              </w:tc>
              <w:tc>
                <w:tcPr>
                  <w:tcW w:w="0" w:type="auto"/>
                  <w:noWrap w:val="0"/>
                  <w:vAlign w:val="center"/>
                </w:tcPr>
                <w:p w14:paraId="08D0672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E0C69B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5A9290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铁的测定 邻菲啰啉分光光度法（试行）HJ/T 345─ 2007</w:t>
                  </w:r>
                </w:p>
              </w:tc>
              <w:tc>
                <w:tcPr>
                  <w:tcW w:w="83" w:type="pct"/>
                  <w:noWrap w:val="0"/>
                  <w:vAlign w:val="center"/>
                </w:tcPr>
                <w:p w14:paraId="5F8CB29F">
                  <w:pPr>
                    <w:widowControl w:val="0"/>
                    <w:jc w:val="both"/>
                    <w:rPr>
                      <w:rFonts w:ascii="Calibri" w:hAnsi="Calibri"/>
                      <w:kern w:val="2"/>
                      <w:sz w:val="21"/>
                      <w:lang w:val="en-US" w:eastAsia="zh-CN" w:bidi="ar-SA"/>
                    </w:rPr>
                  </w:pPr>
                </w:p>
              </w:tc>
            </w:tr>
            <w:tr w14:paraId="7860427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902BE7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118</w:t>
                  </w:r>
                </w:p>
              </w:tc>
              <w:tc>
                <w:tcPr>
                  <w:tcW w:w="240" w:type="pct"/>
                  <w:noWrap w:val="0"/>
                  <w:vAlign w:val="center"/>
                </w:tcPr>
                <w:p w14:paraId="00D70EB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C8EB3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79C060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56E411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46D78C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总铁</w:t>
                  </w:r>
                </w:p>
              </w:tc>
              <w:tc>
                <w:tcPr>
                  <w:tcW w:w="153" w:type="pct"/>
                  <w:noWrap w:val="0"/>
                  <w:vAlign w:val="center"/>
                </w:tcPr>
                <w:p w14:paraId="1FCDBA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3B5E791">
                  <w:pPr>
                    <w:widowControl w:val="0"/>
                    <w:jc w:val="both"/>
                    <w:rPr>
                      <w:rFonts w:ascii="Calibri" w:hAnsi="Calibri"/>
                      <w:kern w:val="2"/>
                      <w:sz w:val="21"/>
                      <w:lang w:val="en-US" w:eastAsia="zh-CN" w:bidi="ar-SA"/>
                    </w:rPr>
                  </w:pPr>
                </w:p>
              </w:tc>
              <w:tc>
                <w:tcPr>
                  <w:tcW w:w="0" w:type="auto"/>
                  <w:noWrap w:val="0"/>
                  <w:vAlign w:val="center"/>
                </w:tcPr>
                <w:p w14:paraId="4DF9F5BC">
                  <w:pPr>
                    <w:widowControl w:val="0"/>
                    <w:jc w:val="both"/>
                    <w:rPr>
                      <w:rFonts w:ascii="Calibri" w:hAnsi="Calibri"/>
                      <w:kern w:val="2"/>
                      <w:sz w:val="21"/>
                      <w:lang w:val="en-US" w:eastAsia="zh-CN" w:bidi="ar-SA"/>
                    </w:rPr>
                  </w:pPr>
                </w:p>
              </w:tc>
              <w:tc>
                <w:tcPr>
                  <w:tcW w:w="0" w:type="auto"/>
                  <w:noWrap w:val="0"/>
                  <w:vAlign w:val="center"/>
                </w:tcPr>
                <w:p w14:paraId="43B90240">
                  <w:pPr>
                    <w:widowControl w:val="0"/>
                    <w:jc w:val="both"/>
                    <w:rPr>
                      <w:rFonts w:ascii="Calibri" w:hAnsi="Calibri"/>
                      <w:kern w:val="2"/>
                      <w:sz w:val="21"/>
                      <w:lang w:val="en-US" w:eastAsia="zh-CN" w:bidi="ar-SA"/>
                    </w:rPr>
                  </w:pPr>
                </w:p>
              </w:tc>
              <w:tc>
                <w:tcPr>
                  <w:tcW w:w="0" w:type="auto"/>
                  <w:noWrap w:val="0"/>
                  <w:vAlign w:val="center"/>
                </w:tcPr>
                <w:p w14:paraId="052A9447">
                  <w:pPr>
                    <w:widowControl w:val="0"/>
                    <w:jc w:val="both"/>
                    <w:rPr>
                      <w:rFonts w:ascii="Calibri" w:hAnsi="Calibri"/>
                      <w:kern w:val="2"/>
                      <w:sz w:val="21"/>
                      <w:lang w:val="en-US" w:eastAsia="zh-CN" w:bidi="ar-SA"/>
                    </w:rPr>
                  </w:pPr>
                </w:p>
              </w:tc>
              <w:tc>
                <w:tcPr>
                  <w:tcW w:w="0" w:type="auto"/>
                  <w:noWrap w:val="0"/>
                  <w:vAlign w:val="center"/>
                </w:tcPr>
                <w:p w14:paraId="380FC6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FC8D65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3662B5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铁的测定 邻菲啰啉分光光度法（试行）HJ/T 345─ 2007</w:t>
                  </w:r>
                </w:p>
              </w:tc>
              <w:tc>
                <w:tcPr>
                  <w:tcW w:w="83" w:type="pct"/>
                  <w:noWrap w:val="0"/>
                  <w:vAlign w:val="center"/>
                </w:tcPr>
                <w:p w14:paraId="694D47BF">
                  <w:pPr>
                    <w:widowControl w:val="0"/>
                    <w:jc w:val="both"/>
                    <w:rPr>
                      <w:rFonts w:ascii="Calibri" w:hAnsi="Calibri"/>
                      <w:kern w:val="2"/>
                      <w:sz w:val="21"/>
                      <w:lang w:val="en-US" w:eastAsia="zh-CN" w:bidi="ar-SA"/>
                    </w:rPr>
                  </w:pPr>
                </w:p>
              </w:tc>
            </w:tr>
            <w:tr w14:paraId="605F389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5CDA9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119</w:t>
                  </w:r>
                </w:p>
              </w:tc>
              <w:tc>
                <w:tcPr>
                  <w:tcW w:w="240" w:type="pct"/>
                  <w:noWrap w:val="0"/>
                  <w:vAlign w:val="center"/>
                </w:tcPr>
                <w:p w14:paraId="2C06E4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0594CB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257FF6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003A44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26DCB52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总银</w:t>
                  </w:r>
                </w:p>
              </w:tc>
              <w:tc>
                <w:tcPr>
                  <w:tcW w:w="153" w:type="pct"/>
                  <w:noWrap w:val="0"/>
                  <w:vAlign w:val="center"/>
                </w:tcPr>
                <w:p w14:paraId="288890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9522322">
                  <w:pPr>
                    <w:widowControl w:val="0"/>
                    <w:jc w:val="both"/>
                    <w:rPr>
                      <w:rFonts w:ascii="Calibri" w:hAnsi="Calibri"/>
                      <w:kern w:val="2"/>
                      <w:sz w:val="21"/>
                      <w:lang w:val="en-US" w:eastAsia="zh-CN" w:bidi="ar-SA"/>
                    </w:rPr>
                  </w:pPr>
                </w:p>
              </w:tc>
              <w:tc>
                <w:tcPr>
                  <w:tcW w:w="0" w:type="auto"/>
                  <w:noWrap w:val="0"/>
                  <w:vAlign w:val="center"/>
                </w:tcPr>
                <w:p w14:paraId="7573A547">
                  <w:pPr>
                    <w:widowControl w:val="0"/>
                    <w:jc w:val="both"/>
                    <w:rPr>
                      <w:rFonts w:ascii="Calibri" w:hAnsi="Calibri"/>
                      <w:kern w:val="2"/>
                      <w:sz w:val="21"/>
                      <w:lang w:val="en-US" w:eastAsia="zh-CN" w:bidi="ar-SA"/>
                    </w:rPr>
                  </w:pPr>
                </w:p>
              </w:tc>
              <w:tc>
                <w:tcPr>
                  <w:tcW w:w="0" w:type="auto"/>
                  <w:noWrap w:val="0"/>
                  <w:vAlign w:val="center"/>
                </w:tcPr>
                <w:p w14:paraId="033B8985">
                  <w:pPr>
                    <w:widowControl w:val="0"/>
                    <w:jc w:val="both"/>
                    <w:rPr>
                      <w:rFonts w:ascii="Calibri" w:hAnsi="Calibri"/>
                      <w:kern w:val="2"/>
                      <w:sz w:val="21"/>
                      <w:lang w:val="en-US" w:eastAsia="zh-CN" w:bidi="ar-SA"/>
                    </w:rPr>
                  </w:pPr>
                </w:p>
              </w:tc>
              <w:tc>
                <w:tcPr>
                  <w:tcW w:w="0" w:type="auto"/>
                  <w:noWrap w:val="0"/>
                  <w:vAlign w:val="center"/>
                </w:tcPr>
                <w:p w14:paraId="6A795A36">
                  <w:pPr>
                    <w:widowControl w:val="0"/>
                    <w:jc w:val="both"/>
                    <w:rPr>
                      <w:rFonts w:ascii="Calibri" w:hAnsi="Calibri"/>
                      <w:kern w:val="2"/>
                      <w:sz w:val="21"/>
                      <w:lang w:val="en-US" w:eastAsia="zh-CN" w:bidi="ar-SA"/>
                    </w:rPr>
                  </w:pPr>
                </w:p>
              </w:tc>
              <w:tc>
                <w:tcPr>
                  <w:tcW w:w="0" w:type="auto"/>
                  <w:noWrap w:val="0"/>
                  <w:vAlign w:val="center"/>
                </w:tcPr>
                <w:p w14:paraId="1280AC4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FD51E8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CEE6A3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11907-89 《水质 银的测定 火焰原子吸收分光光度法》</w:t>
                  </w:r>
                </w:p>
              </w:tc>
              <w:tc>
                <w:tcPr>
                  <w:tcW w:w="83" w:type="pct"/>
                  <w:noWrap w:val="0"/>
                  <w:vAlign w:val="center"/>
                </w:tcPr>
                <w:p w14:paraId="66751456">
                  <w:pPr>
                    <w:widowControl w:val="0"/>
                    <w:jc w:val="both"/>
                    <w:rPr>
                      <w:rFonts w:ascii="Calibri" w:hAnsi="Calibri"/>
                      <w:kern w:val="2"/>
                      <w:sz w:val="21"/>
                      <w:lang w:val="en-US" w:eastAsia="zh-CN" w:bidi="ar-SA"/>
                    </w:rPr>
                  </w:pPr>
                </w:p>
              </w:tc>
            </w:tr>
            <w:tr w14:paraId="1A207E2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43FAE5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120</w:t>
                  </w:r>
                </w:p>
              </w:tc>
              <w:tc>
                <w:tcPr>
                  <w:tcW w:w="240" w:type="pct"/>
                  <w:noWrap w:val="0"/>
                  <w:vAlign w:val="center"/>
                </w:tcPr>
                <w:p w14:paraId="06BEE9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FA405D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CAE593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0871AE9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247B98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总银</w:t>
                  </w:r>
                </w:p>
              </w:tc>
              <w:tc>
                <w:tcPr>
                  <w:tcW w:w="153" w:type="pct"/>
                  <w:noWrap w:val="0"/>
                  <w:vAlign w:val="center"/>
                </w:tcPr>
                <w:p w14:paraId="53E322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741D870">
                  <w:pPr>
                    <w:widowControl w:val="0"/>
                    <w:jc w:val="both"/>
                    <w:rPr>
                      <w:rFonts w:ascii="Calibri" w:hAnsi="Calibri"/>
                      <w:kern w:val="2"/>
                      <w:sz w:val="21"/>
                      <w:lang w:val="en-US" w:eastAsia="zh-CN" w:bidi="ar-SA"/>
                    </w:rPr>
                  </w:pPr>
                </w:p>
              </w:tc>
              <w:tc>
                <w:tcPr>
                  <w:tcW w:w="0" w:type="auto"/>
                  <w:noWrap w:val="0"/>
                  <w:vAlign w:val="center"/>
                </w:tcPr>
                <w:p w14:paraId="6A9D715E">
                  <w:pPr>
                    <w:widowControl w:val="0"/>
                    <w:jc w:val="both"/>
                    <w:rPr>
                      <w:rFonts w:ascii="Calibri" w:hAnsi="Calibri"/>
                      <w:kern w:val="2"/>
                      <w:sz w:val="21"/>
                      <w:lang w:val="en-US" w:eastAsia="zh-CN" w:bidi="ar-SA"/>
                    </w:rPr>
                  </w:pPr>
                </w:p>
              </w:tc>
              <w:tc>
                <w:tcPr>
                  <w:tcW w:w="0" w:type="auto"/>
                  <w:noWrap w:val="0"/>
                  <w:vAlign w:val="center"/>
                </w:tcPr>
                <w:p w14:paraId="279FBBCE">
                  <w:pPr>
                    <w:widowControl w:val="0"/>
                    <w:jc w:val="both"/>
                    <w:rPr>
                      <w:rFonts w:ascii="Calibri" w:hAnsi="Calibri"/>
                      <w:kern w:val="2"/>
                      <w:sz w:val="21"/>
                      <w:lang w:val="en-US" w:eastAsia="zh-CN" w:bidi="ar-SA"/>
                    </w:rPr>
                  </w:pPr>
                </w:p>
              </w:tc>
              <w:tc>
                <w:tcPr>
                  <w:tcW w:w="0" w:type="auto"/>
                  <w:noWrap w:val="0"/>
                  <w:vAlign w:val="center"/>
                </w:tcPr>
                <w:p w14:paraId="6AF00C3C">
                  <w:pPr>
                    <w:widowControl w:val="0"/>
                    <w:jc w:val="both"/>
                    <w:rPr>
                      <w:rFonts w:ascii="Calibri" w:hAnsi="Calibri"/>
                      <w:kern w:val="2"/>
                      <w:sz w:val="21"/>
                      <w:lang w:val="en-US" w:eastAsia="zh-CN" w:bidi="ar-SA"/>
                    </w:rPr>
                  </w:pPr>
                </w:p>
              </w:tc>
              <w:tc>
                <w:tcPr>
                  <w:tcW w:w="0" w:type="auto"/>
                  <w:noWrap w:val="0"/>
                  <w:vAlign w:val="center"/>
                </w:tcPr>
                <w:p w14:paraId="583477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51A4E0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D1BEE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11907-89 《水质 银的测定 火焰原子吸收分光光度法》</w:t>
                  </w:r>
                </w:p>
              </w:tc>
              <w:tc>
                <w:tcPr>
                  <w:tcW w:w="83" w:type="pct"/>
                  <w:noWrap w:val="0"/>
                  <w:vAlign w:val="center"/>
                </w:tcPr>
                <w:p w14:paraId="03F916B5">
                  <w:pPr>
                    <w:widowControl w:val="0"/>
                    <w:jc w:val="both"/>
                    <w:rPr>
                      <w:rFonts w:ascii="Calibri" w:hAnsi="Calibri"/>
                      <w:kern w:val="2"/>
                      <w:sz w:val="21"/>
                      <w:lang w:val="en-US" w:eastAsia="zh-CN" w:bidi="ar-SA"/>
                    </w:rPr>
                  </w:pPr>
                </w:p>
              </w:tc>
            </w:tr>
            <w:tr w14:paraId="6DDA9BC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429A6D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121</w:t>
                  </w:r>
                </w:p>
              </w:tc>
              <w:tc>
                <w:tcPr>
                  <w:tcW w:w="240" w:type="pct"/>
                  <w:noWrap w:val="0"/>
                  <w:vAlign w:val="center"/>
                </w:tcPr>
                <w:p w14:paraId="130F4D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05BAC7B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F0269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6111634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F745E4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总银</w:t>
                  </w:r>
                </w:p>
              </w:tc>
              <w:tc>
                <w:tcPr>
                  <w:tcW w:w="153" w:type="pct"/>
                  <w:noWrap w:val="0"/>
                  <w:vAlign w:val="center"/>
                </w:tcPr>
                <w:p w14:paraId="4C3460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098054C">
                  <w:pPr>
                    <w:widowControl w:val="0"/>
                    <w:jc w:val="both"/>
                    <w:rPr>
                      <w:rFonts w:ascii="Calibri" w:hAnsi="Calibri"/>
                      <w:kern w:val="2"/>
                      <w:sz w:val="21"/>
                      <w:lang w:val="en-US" w:eastAsia="zh-CN" w:bidi="ar-SA"/>
                    </w:rPr>
                  </w:pPr>
                </w:p>
              </w:tc>
              <w:tc>
                <w:tcPr>
                  <w:tcW w:w="0" w:type="auto"/>
                  <w:noWrap w:val="0"/>
                  <w:vAlign w:val="center"/>
                </w:tcPr>
                <w:p w14:paraId="3BFF80D0">
                  <w:pPr>
                    <w:widowControl w:val="0"/>
                    <w:jc w:val="both"/>
                    <w:rPr>
                      <w:rFonts w:ascii="Calibri" w:hAnsi="Calibri"/>
                      <w:kern w:val="2"/>
                      <w:sz w:val="21"/>
                      <w:lang w:val="en-US" w:eastAsia="zh-CN" w:bidi="ar-SA"/>
                    </w:rPr>
                  </w:pPr>
                </w:p>
              </w:tc>
              <w:tc>
                <w:tcPr>
                  <w:tcW w:w="0" w:type="auto"/>
                  <w:noWrap w:val="0"/>
                  <w:vAlign w:val="center"/>
                </w:tcPr>
                <w:p w14:paraId="13026A5C">
                  <w:pPr>
                    <w:widowControl w:val="0"/>
                    <w:jc w:val="both"/>
                    <w:rPr>
                      <w:rFonts w:ascii="Calibri" w:hAnsi="Calibri"/>
                      <w:kern w:val="2"/>
                      <w:sz w:val="21"/>
                      <w:lang w:val="en-US" w:eastAsia="zh-CN" w:bidi="ar-SA"/>
                    </w:rPr>
                  </w:pPr>
                </w:p>
              </w:tc>
              <w:tc>
                <w:tcPr>
                  <w:tcW w:w="0" w:type="auto"/>
                  <w:noWrap w:val="0"/>
                  <w:vAlign w:val="center"/>
                </w:tcPr>
                <w:p w14:paraId="03E1CD34">
                  <w:pPr>
                    <w:widowControl w:val="0"/>
                    <w:jc w:val="both"/>
                    <w:rPr>
                      <w:rFonts w:ascii="Calibri" w:hAnsi="Calibri"/>
                      <w:kern w:val="2"/>
                      <w:sz w:val="21"/>
                      <w:lang w:val="en-US" w:eastAsia="zh-CN" w:bidi="ar-SA"/>
                    </w:rPr>
                  </w:pPr>
                </w:p>
              </w:tc>
              <w:tc>
                <w:tcPr>
                  <w:tcW w:w="0" w:type="auto"/>
                  <w:noWrap w:val="0"/>
                  <w:vAlign w:val="center"/>
                </w:tcPr>
                <w:p w14:paraId="3A0CCCA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B1617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207BA2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GB/T 11907-89 《水质 银的测定 火焰原子吸收分光光度法》</w:t>
                  </w:r>
                </w:p>
              </w:tc>
              <w:tc>
                <w:tcPr>
                  <w:tcW w:w="83" w:type="pct"/>
                  <w:noWrap w:val="0"/>
                  <w:vAlign w:val="center"/>
                </w:tcPr>
                <w:p w14:paraId="10686568">
                  <w:pPr>
                    <w:widowControl w:val="0"/>
                    <w:jc w:val="both"/>
                    <w:rPr>
                      <w:rFonts w:ascii="Calibri" w:hAnsi="Calibri"/>
                      <w:kern w:val="2"/>
                      <w:sz w:val="21"/>
                      <w:lang w:val="en-US" w:eastAsia="zh-CN" w:bidi="ar-SA"/>
                    </w:rPr>
                  </w:pPr>
                </w:p>
              </w:tc>
            </w:tr>
            <w:tr w14:paraId="060971D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BE6D4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122</w:t>
                  </w:r>
                </w:p>
              </w:tc>
              <w:tc>
                <w:tcPr>
                  <w:tcW w:w="240" w:type="pct"/>
                  <w:noWrap w:val="0"/>
                  <w:vAlign w:val="center"/>
                </w:tcPr>
                <w:p w14:paraId="2ED320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E7E05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0409BB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57EB7E2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5B80B8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总铍</w:t>
                  </w:r>
                </w:p>
              </w:tc>
              <w:tc>
                <w:tcPr>
                  <w:tcW w:w="153" w:type="pct"/>
                  <w:noWrap w:val="0"/>
                  <w:vAlign w:val="center"/>
                </w:tcPr>
                <w:p w14:paraId="4D41E86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85A0FAA">
                  <w:pPr>
                    <w:widowControl w:val="0"/>
                    <w:jc w:val="both"/>
                    <w:rPr>
                      <w:rFonts w:ascii="Calibri" w:hAnsi="Calibri"/>
                      <w:kern w:val="2"/>
                      <w:sz w:val="21"/>
                      <w:lang w:val="en-US" w:eastAsia="zh-CN" w:bidi="ar-SA"/>
                    </w:rPr>
                  </w:pPr>
                </w:p>
              </w:tc>
              <w:tc>
                <w:tcPr>
                  <w:tcW w:w="0" w:type="auto"/>
                  <w:noWrap w:val="0"/>
                  <w:vAlign w:val="center"/>
                </w:tcPr>
                <w:p w14:paraId="4F76839B">
                  <w:pPr>
                    <w:widowControl w:val="0"/>
                    <w:jc w:val="both"/>
                    <w:rPr>
                      <w:rFonts w:ascii="Calibri" w:hAnsi="Calibri"/>
                      <w:kern w:val="2"/>
                      <w:sz w:val="21"/>
                      <w:lang w:val="en-US" w:eastAsia="zh-CN" w:bidi="ar-SA"/>
                    </w:rPr>
                  </w:pPr>
                </w:p>
              </w:tc>
              <w:tc>
                <w:tcPr>
                  <w:tcW w:w="0" w:type="auto"/>
                  <w:noWrap w:val="0"/>
                  <w:vAlign w:val="center"/>
                </w:tcPr>
                <w:p w14:paraId="63C8BE8B">
                  <w:pPr>
                    <w:widowControl w:val="0"/>
                    <w:jc w:val="both"/>
                    <w:rPr>
                      <w:rFonts w:ascii="Calibri" w:hAnsi="Calibri"/>
                      <w:kern w:val="2"/>
                      <w:sz w:val="21"/>
                      <w:lang w:val="en-US" w:eastAsia="zh-CN" w:bidi="ar-SA"/>
                    </w:rPr>
                  </w:pPr>
                </w:p>
              </w:tc>
              <w:tc>
                <w:tcPr>
                  <w:tcW w:w="0" w:type="auto"/>
                  <w:noWrap w:val="0"/>
                  <w:vAlign w:val="center"/>
                </w:tcPr>
                <w:p w14:paraId="4F7A9DA8">
                  <w:pPr>
                    <w:widowControl w:val="0"/>
                    <w:jc w:val="both"/>
                    <w:rPr>
                      <w:rFonts w:ascii="Calibri" w:hAnsi="Calibri"/>
                      <w:kern w:val="2"/>
                      <w:sz w:val="21"/>
                      <w:lang w:val="en-US" w:eastAsia="zh-CN" w:bidi="ar-SA"/>
                    </w:rPr>
                  </w:pPr>
                </w:p>
              </w:tc>
              <w:tc>
                <w:tcPr>
                  <w:tcW w:w="0" w:type="auto"/>
                  <w:noWrap w:val="0"/>
                  <w:vAlign w:val="center"/>
                </w:tcPr>
                <w:p w14:paraId="6D86D52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4B232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8A5230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铍的测定 石墨炉原 子吸收分光光度法》（HJ/T 59-2000）</w:t>
                  </w:r>
                </w:p>
              </w:tc>
              <w:tc>
                <w:tcPr>
                  <w:tcW w:w="83" w:type="pct"/>
                  <w:noWrap w:val="0"/>
                  <w:vAlign w:val="center"/>
                </w:tcPr>
                <w:p w14:paraId="0E5A2D07">
                  <w:pPr>
                    <w:widowControl w:val="0"/>
                    <w:jc w:val="both"/>
                    <w:rPr>
                      <w:rFonts w:ascii="Calibri" w:hAnsi="Calibri"/>
                      <w:kern w:val="2"/>
                      <w:sz w:val="21"/>
                      <w:lang w:val="en-US" w:eastAsia="zh-CN" w:bidi="ar-SA"/>
                    </w:rPr>
                  </w:pPr>
                </w:p>
              </w:tc>
            </w:tr>
            <w:tr w14:paraId="249F0825">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BC13A4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123</w:t>
                  </w:r>
                </w:p>
              </w:tc>
              <w:tc>
                <w:tcPr>
                  <w:tcW w:w="240" w:type="pct"/>
                  <w:noWrap w:val="0"/>
                  <w:vAlign w:val="center"/>
                </w:tcPr>
                <w:p w14:paraId="757092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46D1D1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633C84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405278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6D3717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总铍</w:t>
                  </w:r>
                </w:p>
              </w:tc>
              <w:tc>
                <w:tcPr>
                  <w:tcW w:w="153" w:type="pct"/>
                  <w:noWrap w:val="0"/>
                  <w:vAlign w:val="center"/>
                </w:tcPr>
                <w:p w14:paraId="29EE7A7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9CFACF3">
                  <w:pPr>
                    <w:widowControl w:val="0"/>
                    <w:jc w:val="both"/>
                    <w:rPr>
                      <w:rFonts w:ascii="Calibri" w:hAnsi="Calibri"/>
                      <w:kern w:val="2"/>
                      <w:sz w:val="21"/>
                      <w:lang w:val="en-US" w:eastAsia="zh-CN" w:bidi="ar-SA"/>
                    </w:rPr>
                  </w:pPr>
                </w:p>
              </w:tc>
              <w:tc>
                <w:tcPr>
                  <w:tcW w:w="0" w:type="auto"/>
                  <w:noWrap w:val="0"/>
                  <w:vAlign w:val="center"/>
                </w:tcPr>
                <w:p w14:paraId="0C990361">
                  <w:pPr>
                    <w:widowControl w:val="0"/>
                    <w:jc w:val="both"/>
                    <w:rPr>
                      <w:rFonts w:ascii="Calibri" w:hAnsi="Calibri"/>
                      <w:kern w:val="2"/>
                      <w:sz w:val="21"/>
                      <w:lang w:val="en-US" w:eastAsia="zh-CN" w:bidi="ar-SA"/>
                    </w:rPr>
                  </w:pPr>
                </w:p>
              </w:tc>
              <w:tc>
                <w:tcPr>
                  <w:tcW w:w="0" w:type="auto"/>
                  <w:noWrap w:val="0"/>
                  <w:vAlign w:val="center"/>
                </w:tcPr>
                <w:p w14:paraId="678DD1BC">
                  <w:pPr>
                    <w:widowControl w:val="0"/>
                    <w:jc w:val="both"/>
                    <w:rPr>
                      <w:rFonts w:ascii="Calibri" w:hAnsi="Calibri"/>
                      <w:kern w:val="2"/>
                      <w:sz w:val="21"/>
                      <w:lang w:val="en-US" w:eastAsia="zh-CN" w:bidi="ar-SA"/>
                    </w:rPr>
                  </w:pPr>
                </w:p>
              </w:tc>
              <w:tc>
                <w:tcPr>
                  <w:tcW w:w="0" w:type="auto"/>
                  <w:noWrap w:val="0"/>
                  <w:vAlign w:val="center"/>
                </w:tcPr>
                <w:p w14:paraId="26272C60">
                  <w:pPr>
                    <w:widowControl w:val="0"/>
                    <w:jc w:val="both"/>
                    <w:rPr>
                      <w:rFonts w:ascii="Calibri" w:hAnsi="Calibri"/>
                      <w:kern w:val="2"/>
                      <w:sz w:val="21"/>
                      <w:lang w:val="en-US" w:eastAsia="zh-CN" w:bidi="ar-SA"/>
                    </w:rPr>
                  </w:pPr>
                </w:p>
              </w:tc>
              <w:tc>
                <w:tcPr>
                  <w:tcW w:w="0" w:type="auto"/>
                  <w:noWrap w:val="0"/>
                  <w:vAlign w:val="center"/>
                </w:tcPr>
                <w:p w14:paraId="12C7D81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64BE66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5AA112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铍的测定 石墨炉原 子吸收分光光度法》（HJ/T 59-2000）</w:t>
                  </w:r>
                </w:p>
              </w:tc>
              <w:tc>
                <w:tcPr>
                  <w:tcW w:w="83" w:type="pct"/>
                  <w:noWrap w:val="0"/>
                  <w:vAlign w:val="center"/>
                </w:tcPr>
                <w:p w14:paraId="1F1201F8">
                  <w:pPr>
                    <w:widowControl w:val="0"/>
                    <w:jc w:val="both"/>
                    <w:rPr>
                      <w:rFonts w:ascii="Calibri" w:hAnsi="Calibri"/>
                      <w:kern w:val="2"/>
                      <w:sz w:val="21"/>
                      <w:lang w:val="en-US" w:eastAsia="zh-CN" w:bidi="ar-SA"/>
                    </w:rPr>
                  </w:pPr>
                </w:p>
              </w:tc>
            </w:tr>
            <w:tr w14:paraId="04141E7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8175B0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124</w:t>
                  </w:r>
                </w:p>
              </w:tc>
              <w:tc>
                <w:tcPr>
                  <w:tcW w:w="240" w:type="pct"/>
                  <w:noWrap w:val="0"/>
                  <w:vAlign w:val="center"/>
                </w:tcPr>
                <w:p w14:paraId="3286C17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A72E6B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43FB4D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0420DC5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06808A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总铍</w:t>
                  </w:r>
                </w:p>
              </w:tc>
              <w:tc>
                <w:tcPr>
                  <w:tcW w:w="153" w:type="pct"/>
                  <w:noWrap w:val="0"/>
                  <w:vAlign w:val="center"/>
                </w:tcPr>
                <w:p w14:paraId="3C6251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1C03288">
                  <w:pPr>
                    <w:widowControl w:val="0"/>
                    <w:jc w:val="both"/>
                    <w:rPr>
                      <w:rFonts w:ascii="Calibri" w:hAnsi="Calibri"/>
                      <w:kern w:val="2"/>
                      <w:sz w:val="21"/>
                      <w:lang w:val="en-US" w:eastAsia="zh-CN" w:bidi="ar-SA"/>
                    </w:rPr>
                  </w:pPr>
                </w:p>
              </w:tc>
              <w:tc>
                <w:tcPr>
                  <w:tcW w:w="0" w:type="auto"/>
                  <w:noWrap w:val="0"/>
                  <w:vAlign w:val="center"/>
                </w:tcPr>
                <w:p w14:paraId="5D5B6B4A">
                  <w:pPr>
                    <w:widowControl w:val="0"/>
                    <w:jc w:val="both"/>
                    <w:rPr>
                      <w:rFonts w:ascii="Calibri" w:hAnsi="Calibri"/>
                      <w:kern w:val="2"/>
                      <w:sz w:val="21"/>
                      <w:lang w:val="en-US" w:eastAsia="zh-CN" w:bidi="ar-SA"/>
                    </w:rPr>
                  </w:pPr>
                </w:p>
              </w:tc>
              <w:tc>
                <w:tcPr>
                  <w:tcW w:w="0" w:type="auto"/>
                  <w:noWrap w:val="0"/>
                  <w:vAlign w:val="center"/>
                </w:tcPr>
                <w:p w14:paraId="4E324D1B">
                  <w:pPr>
                    <w:widowControl w:val="0"/>
                    <w:jc w:val="both"/>
                    <w:rPr>
                      <w:rFonts w:ascii="Calibri" w:hAnsi="Calibri"/>
                      <w:kern w:val="2"/>
                      <w:sz w:val="21"/>
                      <w:lang w:val="en-US" w:eastAsia="zh-CN" w:bidi="ar-SA"/>
                    </w:rPr>
                  </w:pPr>
                </w:p>
              </w:tc>
              <w:tc>
                <w:tcPr>
                  <w:tcW w:w="0" w:type="auto"/>
                  <w:noWrap w:val="0"/>
                  <w:vAlign w:val="center"/>
                </w:tcPr>
                <w:p w14:paraId="5C0B9D2B">
                  <w:pPr>
                    <w:widowControl w:val="0"/>
                    <w:jc w:val="both"/>
                    <w:rPr>
                      <w:rFonts w:ascii="Calibri" w:hAnsi="Calibri"/>
                      <w:kern w:val="2"/>
                      <w:sz w:val="21"/>
                      <w:lang w:val="en-US" w:eastAsia="zh-CN" w:bidi="ar-SA"/>
                    </w:rPr>
                  </w:pPr>
                </w:p>
              </w:tc>
              <w:tc>
                <w:tcPr>
                  <w:tcW w:w="0" w:type="auto"/>
                  <w:noWrap w:val="0"/>
                  <w:vAlign w:val="center"/>
                </w:tcPr>
                <w:p w14:paraId="3B52CE1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60A713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DED921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铍的测定 石墨炉原 子吸收分光光度法》（HJ/T 59-2000）</w:t>
                  </w:r>
                </w:p>
              </w:tc>
              <w:tc>
                <w:tcPr>
                  <w:tcW w:w="83" w:type="pct"/>
                  <w:noWrap w:val="0"/>
                  <w:vAlign w:val="center"/>
                </w:tcPr>
                <w:p w14:paraId="29642171">
                  <w:pPr>
                    <w:widowControl w:val="0"/>
                    <w:jc w:val="both"/>
                    <w:rPr>
                      <w:rFonts w:ascii="Calibri" w:hAnsi="Calibri"/>
                      <w:kern w:val="2"/>
                      <w:sz w:val="21"/>
                      <w:lang w:val="en-US" w:eastAsia="zh-CN" w:bidi="ar-SA"/>
                    </w:rPr>
                  </w:pPr>
                </w:p>
              </w:tc>
            </w:tr>
            <w:tr w14:paraId="6C727FA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B88A8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125</w:t>
                  </w:r>
                </w:p>
              </w:tc>
              <w:tc>
                <w:tcPr>
                  <w:tcW w:w="240" w:type="pct"/>
                  <w:noWrap w:val="0"/>
                  <w:vAlign w:val="center"/>
                </w:tcPr>
                <w:p w14:paraId="6A6C1F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049B0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2B7C6F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76C5132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92FE7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总硒</w:t>
                  </w:r>
                </w:p>
              </w:tc>
              <w:tc>
                <w:tcPr>
                  <w:tcW w:w="153" w:type="pct"/>
                  <w:noWrap w:val="0"/>
                  <w:vAlign w:val="center"/>
                </w:tcPr>
                <w:p w14:paraId="504665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2E816DB">
                  <w:pPr>
                    <w:widowControl w:val="0"/>
                    <w:jc w:val="both"/>
                    <w:rPr>
                      <w:rFonts w:ascii="Calibri" w:hAnsi="Calibri"/>
                      <w:kern w:val="2"/>
                      <w:sz w:val="21"/>
                      <w:lang w:val="en-US" w:eastAsia="zh-CN" w:bidi="ar-SA"/>
                    </w:rPr>
                  </w:pPr>
                </w:p>
              </w:tc>
              <w:tc>
                <w:tcPr>
                  <w:tcW w:w="0" w:type="auto"/>
                  <w:noWrap w:val="0"/>
                  <w:vAlign w:val="center"/>
                </w:tcPr>
                <w:p w14:paraId="7E85E429">
                  <w:pPr>
                    <w:widowControl w:val="0"/>
                    <w:jc w:val="both"/>
                    <w:rPr>
                      <w:rFonts w:ascii="Calibri" w:hAnsi="Calibri"/>
                      <w:kern w:val="2"/>
                      <w:sz w:val="21"/>
                      <w:lang w:val="en-US" w:eastAsia="zh-CN" w:bidi="ar-SA"/>
                    </w:rPr>
                  </w:pPr>
                </w:p>
              </w:tc>
              <w:tc>
                <w:tcPr>
                  <w:tcW w:w="0" w:type="auto"/>
                  <w:noWrap w:val="0"/>
                  <w:vAlign w:val="center"/>
                </w:tcPr>
                <w:p w14:paraId="688C41FF">
                  <w:pPr>
                    <w:widowControl w:val="0"/>
                    <w:jc w:val="both"/>
                    <w:rPr>
                      <w:rFonts w:ascii="Calibri" w:hAnsi="Calibri"/>
                      <w:kern w:val="2"/>
                      <w:sz w:val="21"/>
                      <w:lang w:val="en-US" w:eastAsia="zh-CN" w:bidi="ar-SA"/>
                    </w:rPr>
                  </w:pPr>
                </w:p>
              </w:tc>
              <w:tc>
                <w:tcPr>
                  <w:tcW w:w="0" w:type="auto"/>
                  <w:noWrap w:val="0"/>
                  <w:vAlign w:val="center"/>
                </w:tcPr>
                <w:p w14:paraId="2161024F">
                  <w:pPr>
                    <w:widowControl w:val="0"/>
                    <w:jc w:val="both"/>
                    <w:rPr>
                      <w:rFonts w:ascii="Calibri" w:hAnsi="Calibri"/>
                      <w:kern w:val="2"/>
                      <w:sz w:val="21"/>
                      <w:lang w:val="en-US" w:eastAsia="zh-CN" w:bidi="ar-SA"/>
                    </w:rPr>
                  </w:pPr>
                </w:p>
              </w:tc>
              <w:tc>
                <w:tcPr>
                  <w:tcW w:w="0" w:type="auto"/>
                  <w:noWrap w:val="0"/>
                  <w:vAlign w:val="center"/>
                </w:tcPr>
                <w:p w14:paraId="4C89E51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65C438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E3DBB0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汞、砷、硒、铋和锑的测定 原子荧光法》（HJ 694-2014）</w:t>
                  </w:r>
                </w:p>
              </w:tc>
              <w:tc>
                <w:tcPr>
                  <w:tcW w:w="83" w:type="pct"/>
                  <w:noWrap w:val="0"/>
                  <w:vAlign w:val="center"/>
                </w:tcPr>
                <w:p w14:paraId="0B339BB0">
                  <w:pPr>
                    <w:widowControl w:val="0"/>
                    <w:jc w:val="both"/>
                    <w:rPr>
                      <w:rFonts w:ascii="Calibri" w:hAnsi="Calibri"/>
                      <w:kern w:val="2"/>
                      <w:sz w:val="21"/>
                      <w:lang w:val="en-US" w:eastAsia="zh-CN" w:bidi="ar-SA"/>
                    </w:rPr>
                  </w:pPr>
                </w:p>
              </w:tc>
            </w:tr>
            <w:tr w14:paraId="4C50C86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DF699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126</w:t>
                  </w:r>
                </w:p>
              </w:tc>
              <w:tc>
                <w:tcPr>
                  <w:tcW w:w="240" w:type="pct"/>
                  <w:noWrap w:val="0"/>
                  <w:vAlign w:val="center"/>
                </w:tcPr>
                <w:p w14:paraId="095D2C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E10B2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A60AE8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577C68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B5C709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总硒</w:t>
                  </w:r>
                </w:p>
              </w:tc>
              <w:tc>
                <w:tcPr>
                  <w:tcW w:w="153" w:type="pct"/>
                  <w:noWrap w:val="0"/>
                  <w:vAlign w:val="center"/>
                </w:tcPr>
                <w:p w14:paraId="706DD0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D53581F">
                  <w:pPr>
                    <w:widowControl w:val="0"/>
                    <w:jc w:val="both"/>
                    <w:rPr>
                      <w:rFonts w:ascii="Calibri" w:hAnsi="Calibri"/>
                      <w:kern w:val="2"/>
                      <w:sz w:val="21"/>
                      <w:lang w:val="en-US" w:eastAsia="zh-CN" w:bidi="ar-SA"/>
                    </w:rPr>
                  </w:pPr>
                </w:p>
              </w:tc>
              <w:tc>
                <w:tcPr>
                  <w:tcW w:w="0" w:type="auto"/>
                  <w:noWrap w:val="0"/>
                  <w:vAlign w:val="center"/>
                </w:tcPr>
                <w:p w14:paraId="4B77CB4E">
                  <w:pPr>
                    <w:widowControl w:val="0"/>
                    <w:jc w:val="both"/>
                    <w:rPr>
                      <w:rFonts w:ascii="Calibri" w:hAnsi="Calibri"/>
                      <w:kern w:val="2"/>
                      <w:sz w:val="21"/>
                      <w:lang w:val="en-US" w:eastAsia="zh-CN" w:bidi="ar-SA"/>
                    </w:rPr>
                  </w:pPr>
                </w:p>
              </w:tc>
              <w:tc>
                <w:tcPr>
                  <w:tcW w:w="0" w:type="auto"/>
                  <w:noWrap w:val="0"/>
                  <w:vAlign w:val="center"/>
                </w:tcPr>
                <w:p w14:paraId="56757D89">
                  <w:pPr>
                    <w:widowControl w:val="0"/>
                    <w:jc w:val="both"/>
                    <w:rPr>
                      <w:rFonts w:ascii="Calibri" w:hAnsi="Calibri"/>
                      <w:kern w:val="2"/>
                      <w:sz w:val="21"/>
                      <w:lang w:val="en-US" w:eastAsia="zh-CN" w:bidi="ar-SA"/>
                    </w:rPr>
                  </w:pPr>
                </w:p>
              </w:tc>
              <w:tc>
                <w:tcPr>
                  <w:tcW w:w="0" w:type="auto"/>
                  <w:noWrap w:val="0"/>
                  <w:vAlign w:val="center"/>
                </w:tcPr>
                <w:p w14:paraId="2B005AEF">
                  <w:pPr>
                    <w:widowControl w:val="0"/>
                    <w:jc w:val="both"/>
                    <w:rPr>
                      <w:rFonts w:ascii="Calibri" w:hAnsi="Calibri"/>
                      <w:kern w:val="2"/>
                      <w:sz w:val="21"/>
                      <w:lang w:val="en-US" w:eastAsia="zh-CN" w:bidi="ar-SA"/>
                    </w:rPr>
                  </w:pPr>
                </w:p>
              </w:tc>
              <w:tc>
                <w:tcPr>
                  <w:tcW w:w="0" w:type="auto"/>
                  <w:noWrap w:val="0"/>
                  <w:vAlign w:val="center"/>
                </w:tcPr>
                <w:p w14:paraId="2DF1C3B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DF5FF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B8C98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汞、砷、硒、铋和锑的测定 原子荧光法》（HJ 694-2014）</w:t>
                  </w:r>
                </w:p>
              </w:tc>
              <w:tc>
                <w:tcPr>
                  <w:tcW w:w="83" w:type="pct"/>
                  <w:noWrap w:val="0"/>
                  <w:vAlign w:val="center"/>
                </w:tcPr>
                <w:p w14:paraId="3E3DBD5E">
                  <w:pPr>
                    <w:widowControl w:val="0"/>
                    <w:jc w:val="both"/>
                    <w:rPr>
                      <w:rFonts w:ascii="Calibri" w:hAnsi="Calibri"/>
                      <w:kern w:val="2"/>
                      <w:sz w:val="21"/>
                      <w:lang w:val="en-US" w:eastAsia="zh-CN" w:bidi="ar-SA"/>
                    </w:rPr>
                  </w:pPr>
                </w:p>
              </w:tc>
            </w:tr>
            <w:tr w14:paraId="53162B3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B9BD2B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127</w:t>
                  </w:r>
                </w:p>
              </w:tc>
              <w:tc>
                <w:tcPr>
                  <w:tcW w:w="240" w:type="pct"/>
                  <w:noWrap w:val="0"/>
                  <w:vAlign w:val="center"/>
                </w:tcPr>
                <w:p w14:paraId="37E841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6E52E0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15B5D2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0994EB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6D54B84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总硒</w:t>
                  </w:r>
                </w:p>
              </w:tc>
              <w:tc>
                <w:tcPr>
                  <w:tcW w:w="153" w:type="pct"/>
                  <w:noWrap w:val="0"/>
                  <w:vAlign w:val="center"/>
                </w:tcPr>
                <w:p w14:paraId="4E5C86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CC2F4F4">
                  <w:pPr>
                    <w:widowControl w:val="0"/>
                    <w:jc w:val="both"/>
                    <w:rPr>
                      <w:rFonts w:ascii="Calibri" w:hAnsi="Calibri"/>
                      <w:kern w:val="2"/>
                      <w:sz w:val="21"/>
                      <w:lang w:val="en-US" w:eastAsia="zh-CN" w:bidi="ar-SA"/>
                    </w:rPr>
                  </w:pPr>
                </w:p>
              </w:tc>
              <w:tc>
                <w:tcPr>
                  <w:tcW w:w="0" w:type="auto"/>
                  <w:noWrap w:val="0"/>
                  <w:vAlign w:val="center"/>
                </w:tcPr>
                <w:p w14:paraId="4A86C3FE">
                  <w:pPr>
                    <w:widowControl w:val="0"/>
                    <w:jc w:val="both"/>
                    <w:rPr>
                      <w:rFonts w:ascii="Calibri" w:hAnsi="Calibri"/>
                      <w:kern w:val="2"/>
                      <w:sz w:val="21"/>
                      <w:lang w:val="en-US" w:eastAsia="zh-CN" w:bidi="ar-SA"/>
                    </w:rPr>
                  </w:pPr>
                </w:p>
              </w:tc>
              <w:tc>
                <w:tcPr>
                  <w:tcW w:w="0" w:type="auto"/>
                  <w:noWrap w:val="0"/>
                  <w:vAlign w:val="center"/>
                </w:tcPr>
                <w:p w14:paraId="289262F8">
                  <w:pPr>
                    <w:widowControl w:val="0"/>
                    <w:jc w:val="both"/>
                    <w:rPr>
                      <w:rFonts w:ascii="Calibri" w:hAnsi="Calibri"/>
                      <w:kern w:val="2"/>
                      <w:sz w:val="21"/>
                      <w:lang w:val="en-US" w:eastAsia="zh-CN" w:bidi="ar-SA"/>
                    </w:rPr>
                  </w:pPr>
                </w:p>
              </w:tc>
              <w:tc>
                <w:tcPr>
                  <w:tcW w:w="0" w:type="auto"/>
                  <w:noWrap w:val="0"/>
                  <w:vAlign w:val="center"/>
                </w:tcPr>
                <w:p w14:paraId="21D7182D">
                  <w:pPr>
                    <w:widowControl w:val="0"/>
                    <w:jc w:val="both"/>
                    <w:rPr>
                      <w:rFonts w:ascii="Calibri" w:hAnsi="Calibri"/>
                      <w:kern w:val="2"/>
                      <w:sz w:val="21"/>
                      <w:lang w:val="en-US" w:eastAsia="zh-CN" w:bidi="ar-SA"/>
                    </w:rPr>
                  </w:pPr>
                </w:p>
              </w:tc>
              <w:tc>
                <w:tcPr>
                  <w:tcW w:w="0" w:type="auto"/>
                  <w:noWrap w:val="0"/>
                  <w:vAlign w:val="center"/>
                </w:tcPr>
                <w:p w14:paraId="162CDE3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286763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C9EC80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汞、砷、硒、铋和锑的测定 原子荧光法》（HJ 694-2014）</w:t>
                  </w:r>
                </w:p>
              </w:tc>
              <w:tc>
                <w:tcPr>
                  <w:tcW w:w="83" w:type="pct"/>
                  <w:noWrap w:val="0"/>
                  <w:vAlign w:val="center"/>
                </w:tcPr>
                <w:p w14:paraId="12D87895">
                  <w:pPr>
                    <w:widowControl w:val="0"/>
                    <w:jc w:val="both"/>
                    <w:rPr>
                      <w:rFonts w:ascii="Calibri" w:hAnsi="Calibri"/>
                      <w:kern w:val="2"/>
                      <w:sz w:val="21"/>
                      <w:lang w:val="en-US" w:eastAsia="zh-CN" w:bidi="ar-SA"/>
                    </w:rPr>
                  </w:pPr>
                </w:p>
              </w:tc>
            </w:tr>
            <w:tr w14:paraId="19AFEF0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7B017C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128</w:t>
                  </w:r>
                </w:p>
              </w:tc>
              <w:tc>
                <w:tcPr>
                  <w:tcW w:w="240" w:type="pct"/>
                  <w:noWrap w:val="0"/>
                  <w:vAlign w:val="center"/>
                </w:tcPr>
                <w:p w14:paraId="4ECE840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16EBB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C9DE6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4ECF81B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FE967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氨氮（NH3-N）</w:t>
                  </w:r>
                </w:p>
              </w:tc>
              <w:tc>
                <w:tcPr>
                  <w:tcW w:w="153" w:type="pct"/>
                  <w:noWrap w:val="0"/>
                  <w:vAlign w:val="center"/>
                </w:tcPr>
                <w:p w14:paraId="43A7CE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201D5CA">
                  <w:pPr>
                    <w:widowControl w:val="0"/>
                    <w:jc w:val="both"/>
                    <w:rPr>
                      <w:rFonts w:ascii="Calibri" w:hAnsi="Calibri"/>
                      <w:kern w:val="2"/>
                      <w:sz w:val="21"/>
                      <w:lang w:val="en-US" w:eastAsia="zh-CN" w:bidi="ar-SA"/>
                    </w:rPr>
                  </w:pPr>
                </w:p>
              </w:tc>
              <w:tc>
                <w:tcPr>
                  <w:tcW w:w="0" w:type="auto"/>
                  <w:noWrap w:val="0"/>
                  <w:vAlign w:val="center"/>
                </w:tcPr>
                <w:p w14:paraId="43E8A2BA">
                  <w:pPr>
                    <w:widowControl w:val="0"/>
                    <w:jc w:val="both"/>
                    <w:rPr>
                      <w:rFonts w:ascii="Calibri" w:hAnsi="Calibri"/>
                      <w:kern w:val="2"/>
                      <w:sz w:val="21"/>
                      <w:lang w:val="en-US" w:eastAsia="zh-CN" w:bidi="ar-SA"/>
                    </w:rPr>
                  </w:pPr>
                </w:p>
              </w:tc>
              <w:tc>
                <w:tcPr>
                  <w:tcW w:w="0" w:type="auto"/>
                  <w:noWrap w:val="0"/>
                  <w:vAlign w:val="center"/>
                </w:tcPr>
                <w:p w14:paraId="3CDDEE76">
                  <w:pPr>
                    <w:widowControl w:val="0"/>
                    <w:jc w:val="both"/>
                    <w:rPr>
                      <w:rFonts w:ascii="Calibri" w:hAnsi="Calibri"/>
                      <w:kern w:val="2"/>
                      <w:sz w:val="21"/>
                      <w:lang w:val="en-US" w:eastAsia="zh-CN" w:bidi="ar-SA"/>
                    </w:rPr>
                  </w:pPr>
                </w:p>
              </w:tc>
              <w:tc>
                <w:tcPr>
                  <w:tcW w:w="0" w:type="auto"/>
                  <w:noWrap w:val="0"/>
                  <w:vAlign w:val="center"/>
                </w:tcPr>
                <w:p w14:paraId="0EAE80BF">
                  <w:pPr>
                    <w:widowControl w:val="0"/>
                    <w:jc w:val="both"/>
                    <w:rPr>
                      <w:rFonts w:ascii="Calibri" w:hAnsi="Calibri"/>
                      <w:kern w:val="2"/>
                      <w:sz w:val="21"/>
                      <w:lang w:val="en-US" w:eastAsia="zh-CN" w:bidi="ar-SA"/>
                    </w:rPr>
                  </w:pPr>
                </w:p>
              </w:tc>
              <w:tc>
                <w:tcPr>
                  <w:tcW w:w="0" w:type="auto"/>
                  <w:noWrap w:val="0"/>
                  <w:vAlign w:val="center"/>
                </w:tcPr>
                <w:p w14:paraId="23E70C3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至少4个混合样</w:t>
                  </w:r>
                </w:p>
              </w:tc>
              <w:tc>
                <w:tcPr>
                  <w:tcW w:w="0" w:type="auto"/>
                  <w:noWrap w:val="0"/>
                  <w:vAlign w:val="center"/>
                </w:tcPr>
                <w:p w14:paraId="31CD71F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FC369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氨氮的测定 纳氏试剂分光光度法 HJ 535-2009</w:t>
                  </w:r>
                </w:p>
              </w:tc>
              <w:tc>
                <w:tcPr>
                  <w:tcW w:w="83" w:type="pct"/>
                  <w:noWrap w:val="0"/>
                  <w:vAlign w:val="center"/>
                </w:tcPr>
                <w:p w14:paraId="3C8CBC5A">
                  <w:pPr>
                    <w:widowControl w:val="0"/>
                    <w:jc w:val="both"/>
                    <w:rPr>
                      <w:rFonts w:ascii="Calibri" w:hAnsi="Calibri"/>
                      <w:kern w:val="2"/>
                      <w:sz w:val="21"/>
                      <w:lang w:val="en-US" w:eastAsia="zh-CN" w:bidi="ar-SA"/>
                    </w:rPr>
                  </w:pPr>
                </w:p>
              </w:tc>
            </w:tr>
            <w:tr w14:paraId="12E2F9F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E8BCD3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129</w:t>
                  </w:r>
                </w:p>
              </w:tc>
              <w:tc>
                <w:tcPr>
                  <w:tcW w:w="240" w:type="pct"/>
                  <w:noWrap w:val="0"/>
                  <w:vAlign w:val="center"/>
                </w:tcPr>
                <w:p w14:paraId="3C441AB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219F8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4A9B6D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2C8B69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5D6AC91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氨氮（NH3-N）</w:t>
                  </w:r>
                </w:p>
              </w:tc>
              <w:tc>
                <w:tcPr>
                  <w:tcW w:w="153" w:type="pct"/>
                  <w:noWrap w:val="0"/>
                  <w:vAlign w:val="center"/>
                </w:tcPr>
                <w:p w14:paraId="1271199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242E2C5">
                  <w:pPr>
                    <w:widowControl w:val="0"/>
                    <w:jc w:val="both"/>
                    <w:rPr>
                      <w:rFonts w:ascii="Calibri" w:hAnsi="Calibri"/>
                      <w:kern w:val="2"/>
                      <w:sz w:val="21"/>
                      <w:lang w:val="en-US" w:eastAsia="zh-CN" w:bidi="ar-SA"/>
                    </w:rPr>
                  </w:pPr>
                </w:p>
              </w:tc>
              <w:tc>
                <w:tcPr>
                  <w:tcW w:w="0" w:type="auto"/>
                  <w:noWrap w:val="0"/>
                  <w:vAlign w:val="center"/>
                </w:tcPr>
                <w:p w14:paraId="44D97A63">
                  <w:pPr>
                    <w:widowControl w:val="0"/>
                    <w:jc w:val="both"/>
                    <w:rPr>
                      <w:rFonts w:ascii="Calibri" w:hAnsi="Calibri"/>
                      <w:kern w:val="2"/>
                      <w:sz w:val="21"/>
                      <w:lang w:val="en-US" w:eastAsia="zh-CN" w:bidi="ar-SA"/>
                    </w:rPr>
                  </w:pPr>
                </w:p>
              </w:tc>
              <w:tc>
                <w:tcPr>
                  <w:tcW w:w="0" w:type="auto"/>
                  <w:noWrap w:val="0"/>
                  <w:vAlign w:val="center"/>
                </w:tcPr>
                <w:p w14:paraId="4FB8FC1D">
                  <w:pPr>
                    <w:widowControl w:val="0"/>
                    <w:jc w:val="both"/>
                    <w:rPr>
                      <w:rFonts w:ascii="Calibri" w:hAnsi="Calibri"/>
                      <w:kern w:val="2"/>
                      <w:sz w:val="21"/>
                      <w:lang w:val="en-US" w:eastAsia="zh-CN" w:bidi="ar-SA"/>
                    </w:rPr>
                  </w:pPr>
                </w:p>
              </w:tc>
              <w:tc>
                <w:tcPr>
                  <w:tcW w:w="0" w:type="auto"/>
                  <w:noWrap w:val="0"/>
                  <w:vAlign w:val="center"/>
                </w:tcPr>
                <w:p w14:paraId="6B1B136E">
                  <w:pPr>
                    <w:widowControl w:val="0"/>
                    <w:jc w:val="both"/>
                    <w:rPr>
                      <w:rFonts w:ascii="Calibri" w:hAnsi="Calibri"/>
                      <w:kern w:val="2"/>
                      <w:sz w:val="21"/>
                      <w:lang w:val="en-US" w:eastAsia="zh-CN" w:bidi="ar-SA"/>
                    </w:rPr>
                  </w:pPr>
                </w:p>
              </w:tc>
              <w:tc>
                <w:tcPr>
                  <w:tcW w:w="0" w:type="auto"/>
                  <w:noWrap w:val="0"/>
                  <w:vAlign w:val="center"/>
                </w:tcPr>
                <w:p w14:paraId="746F518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1E4AD4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C6DABB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氨氮的测定 纳氏试剂分光光度法 HJ 535-2009</w:t>
                  </w:r>
                </w:p>
              </w:tc>
              <w:tc>
                <w:tcPr>
                  <w:tcW w:w="83" w:type="pct"/>
                  <w:noWrap w:val="0"/>
                  <w:vAlign w:val="center"/>
                </w:tcPr>
                <w:p w14:paraId="3ABBC46D">
                  <w:pPr>
                    <w:widowControl w:val="0"/>
                    <w:jc w:val="both"/>
                    <w:rPr>
                      <w:rFonts w:ascii="Calibri" w:hAnsi="Calibri"/>
                      <w:kern w:val="2"/>
                      <w:sz w:val="21"/>
                      <w:lang w:val="en-US" w:eastAsia="zh-CN" w:bidi="ar-SA"/>
                    </w:rPr>
                  </w:pPr>
                </w:p>
              </w:tc>
            </w:tr>
            <w:tr w14:paraId="7408A10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B21A4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130</w:t>
                  </w:r>
                </w:p>
              </w:tc>
              <w:tc>
                <w:tcPr>
                  <w:tcW w:w="240" w:type="pct"/>
                  <w:noWrap w:val="0"/>
                  <w:vAlign w:val="center"/>
                </w:tcPr>
                <w:p w14:paraId="126B4E2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3336B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F972D6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64E404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A258CE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氨氮（NH3-N）</w:t>
                  </w:r>
                </w:p>
              </w:tc>
              <w:tc>
                <w:tcPr>
                  <w:tcW w:w="153" w:type="pct"/>
                  <w:noWrap w:val="0"/>
                  <w:vAlign w:val="center"/>
                </w:tcPr>
                <w:p w14:paraId="378BD2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2E5BAF4">
                  <w:pPr>
                    <w:widowControl w:val="0"/>
                    <w:jc w:val="both"/>
                    <w:rPr>
                      <w:rFonts w:ascii="Calibri" w:hAnsi="Calibri"/>
                      <w:kern w:val="2"/>
                      <w:sz w:val="21"/>
                      <w:lang w:val="en-US" w:eastAsia="zh-CN" w:bidi="ar-SA"/>
                    </w:rPr>
                  </w:pPr>
                </w:p>
              </w:tc>
              <w:tc>
                <w:tcPr>
                  <w:tcW w:w="0" w:type="auto"/>
                  <w:noWrap w:val="0"/>
                  <w:vAlign w:val="center"/>
                </w:tcPr>
                <w:p w14:paraId="67F37D97">
                  <w:pPr>
                    <w:widowControl w:val="0"/>
                    <w:jc w:val="both"/>
                    <w:rPr>
                      <w:rFonts w:ascii="Calibri" w:hAnsi="Calibri"/>
                      <w:kern w:val="2"/>
                      <w:sz w:val="21"/>
                      <w:lang w:val="en-US" w:eastAsia="zh-CN" w:bidi="ar-SA"/>
                    </w:rPr>
                  </w:pPr>
                </w:p>
              </w:tc>
              <w:tc>
                <w:tcPr>
                  <w:tcW w:w="0" w:type="auto"/>
                  <w:noWrap w:val="0"/>
                  <w:vAlign w:val="center"/>
                </w:tcPr>
                <w:p w14:paraId="4C6E0F8A">
                  <w:pPr>
                    <w:widowControl w:val="0"/>
                    <w:jc w:val="both"/>
                    <w:rPr>
                      <w:rFonts w:ascii="Calibri" w:hAnsi="Calibri"/>
                      <w:kern w:val="2"/>
                      <w:sz w:val="21"/>
                      <w:lang w:val="en-US" w:eastAsia="zh-CN" w:bidi="ar-SA"/>
                    </w:rPr>
                  </w:pPr>
                </w:p>
              </w:tc>
              <w:tc>
                <w:tcPr>
                  <w:tcW w:w="0" w:type="auto"/>
                  <w:noWrap w:val="0"/>
                  <w:vAlign w:val="center"/>
                </w:tcPr>
                <w:p w14:paraId="183B9136">
                  <w:pPr>
                    <w:widowControl w:val="0"/>
                    <w:jc w:val="both"/>
                    <w:rPr>
                      <w:rFonts w:ascii="Calibri" w:hAnsi="Calibri"/>
                      <w:kern w:val="2"/>
                      <w:sz w:val="21"/>
                      <w:lang w:val="en-US" w:eastAsia="zh-CN" w:bidi="ar-SA"/>
                    </w:rPr>
                  </w:pPr>
                </w:p>
              </w:tc>
              <w:tc>
                <w:tcPr>
                  <w:tcW w:w="0" w:type="auto"/>
                  <w:noWrap w:val="0"/>
                  <w:vAlign w:val="center"/>
                </w:tcPr>
                <w:p w14:paraId="7B13757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7D554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9363B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氨氮的测定 纳氏试剂分光光度法 HJ 535-2009</w:t>
                  </w:r>
                </w:p>
              </w:tc>
              <w:tc>
                <w:tcPr>
                  <w:tcW w:w="83" w:type="pct"/>
                  <w:noWrap w:val="0"/>
                  <w:vAlign w:val="center"/>
                </w:tcPr>
                <w:p w14:paraId="551AEA20">
                  <w:pPr>
                    <w:widowControl w:val="0"/>
                    <w:jc w:val="both"/>
                    <w:rPr>
                      <w:rFonts w:ascii="Calibri" w:hAnsi="Calibri"/>
                      <w:kern w:val="2"/>
                      <w:sz w:val="21"/>
                      <w:lang w:val="en-US" w:eastAsia="zh-CN" w:bidi="ar-SA"/>
                    </w:rPr>
                  </w:pPr>
                </w:p>
              </w:tc>
            </w:tr>
            <w:tr w14:paraId="15C89FD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DFD40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131</w:t>
                  </w:r>
                </w:p>
              </w:tc>
              <w:tc>
                <w:tcPr>
                  <w:tcW w:w="240" w:type="pct"/>
                  <w:noWrap w:val="0"/>
                  <w:vAlign w:val="center"/>
                </w:tcPr>
                <w:p w14:paraId="00756A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3B0C8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5BCEAF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7E9ABB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AEBCC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氰化物</w:t>
                  </w:r>
                </w:p>
              </w:tc>
              <w:tc>
                <w:tcPr>
                  <w:tcW w:w="153" w:type="pct"/>
                  <w:noWrap w:val="0"/>
                  <w:vAlign w:val="center"/>
                </w:tcPr>
                <w:p w14:paraId="492600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A7EBB72">
                  <w:pPr>
                    <w:widowControl w:val="0"/>
                    <w:jc w:val="both"/>
                    <w:rPr>
                      <w:rFonts w:ascii="Calibri" w:hAnsi="Calibri"/>
                      <w:kern w:val="2"/>
                      <w:sz w:val="21"/>
                      <w:lang w:val="en-US" w:eastAsia="zh-CN" w:bidi="ar-SA"/>
                    </w:rPr>
                  </w:pPr>
                </w:p>
              </w:tc>
              <w:tc>
                <w:tcPr>
                  <w:tcW w:w="0" w:type="auto"/>
                  <w:noWrap w:val="0"/>
                  <w:vAlign w:val="center"/>
                </w:tcPr>
                <w:p w14:paraId="4F522827">
                  <w:pPr>
                    <w:widowControl w:val="0"/>
                    <w:jc w:val="both"/>
                    <w:rPr>
                      <w:rFonts w:ascii="Calibri" w:hAnsi="Calibri"/>
                      <w:kern w:val="2"/>
                      <w:sz w:val="21"/>
                      <w:lang w:val="en-US" w:eastAsia="zh-CN" w:bidi="ar-SA"/>
                    </w:rPr>
                  </w:pPr>
                </w:p>
              </w:tc>
              <w:tc>
                <w:tcPr>
                  <w:tcW w:w="0" w:type="auto"/>
                  <w:noWrap w:val="0"/>
                  <w:vAlign w:val="center"/>
                </w:tcPr>
                <w:p w14:paraId="1712A259">
                  <w:pPr>
                    <w:widowControl w:val="0"/>
                    <w:jc w:val="both"/>
                    <w:rPr>
                      <w:rFonts w:ascii="Calibri" w:hAnsi="Calibri"/>
                      <w:kern w:val="2"/>
                      <w:sz w:val="21"/>
                      <w:lang w:val="en-US" w:eastAsia="zh-CN" w:bidi="ar-SA"/>
                    </w:rPr>
                  </w:pPr>
                </w:p>
              </w:tc>
              <w:tc>
                <w:tcPr>
                  <w:tcW w:w="0" w:type="auto"/>
                  <w:noWrap w:val="0"/>
                  <w:vAlign w:val="center"/>
                </w:tcPr>
                <w:p w14:paraId="1700B8C2">
                  <w:pPr>
                    <w:widowControl w:val="0"/>
                    <w:jc w:val="both"/>
                    <w:rPr>
                      <w:rFonts w:ascii="Calibri" w:hAnsi="Calibri"/>
                      <w:kern w:val="2"/>
                      <w:sz w:val="21"/>
                      <w:lang w:val="en-US" w:eastAsia="zh-CN" w:bidi="ar-SA"/>
                    </w:rPr>
                  </w:pPr>
                </w:p>
              </w:tc>
              <w:tc>
                <w:tcPr>
                  <w:tcW w:w="0" w:type="auto"/>
                  <w:noWrap w:val="0"/>
                  <w:vAlign w:val="center"/>
                </w:tcPr>
                <w:p w14:paraId="628E8C4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0CD00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F0E7E5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氰化物等的测定 真空检测管-电子比色法HJ 659-2013</w:t>
                  </w:r>
                </w:p>
              </w:tc>
              <w:tc>
                <w:tcPr>
                  <w:tcW w:w="83" w:type="pct"/>
                  <w:noWrap w:val="0"/>
                  <w:vAlign w:val="center"/>
                </w:tcPr>
                <w:p w14:paraId="459A6ECD">
                  <w:pPr>
                    <w:widowControl w:val="0"/>
                    <w:jc w:val="both"/>
                    <w:rPr>
                      <w:rFonts w:ascii="Calibri" w:hAnsi="Calibri"/>
                      <w:kern w:val="2"/>
                      <w:sz w:val="21"/>
                      <w:lang w:val="en-US" w:eastAsia="zh-CN" w:bidi="ar-SA"/>
                    </w:rPr>
                  </w:pPr>
                </w:p>
              </w:tc>
            </w:tr>
            <w:tr w14:paraId="7437FB8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BB1C58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132</w:t>
                  </w:r>
                </w:p>
              </w:tc>
              <w:tc>
                <w:tcPr>
                  <w:tcW w:w="240" w:type="pct"/>
                  <w:noWrap w:val="0"/>
                  <w:vAlign w:val="center"/>
                </w:tcPr>
                <w:p w14:paraId="3A2724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56850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C37F36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25A91A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48A156E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氰化物</w:t>
                  </w:r>
                </w:p>
              </w:tc>
              <w:tc>
                <w:tcPr>
                  <w:tcW w:w="153" w:type="pct"/>
                  <w:noWrap w:val="0"/>
                  <w:vAlign w:val="center"/>
                </w:tcPr>
                <w:p w14:paraId="40CA7A2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1265D82">
                  <w:pPr>
                    <w:widowControl w:val="0"/>
                    <w:jc w:val="both"/>
                    <w:rPr>
                      <w:rFonts w:ascii="Calibri" w:hAnsi="Calibri"/>
                      <w:kern w:val="2"/>
                      <w:sz w:val="21"/>
                      <w:lang w:val="en-US" w:eastAsia="zh-CN" w:bidi="ar-SA"/>
                    </w:rPr>
                  </w:pPr>
                </w:p>
              </w:tc>
              <w:tc>
                <w:tcPr>
                  <w:tcW w:w="0" w:type="auto"/>
                  <w:noWrap w:val="0"/>
                  <w:vAlign w:val="center"/>
                </w:tcPr>
                <w:p w14:paraId="16E59AC5">
                  <w:pPr>
                    <w:widowControl w:val="0"/>
                    <w:jc w:val="both"/>
                    <w:rPr>
                      <w:rFonts w:ascii="Calibri" w:hAnsi="Calibri"/>
                      <w:kern w:val="2"/>
                      <w:sz w:val="21"/>
                      <w:lang w:val="en-US" w:eastAsia="zh-CN" w:bidi="ar-SA"/>
                    </w:rPr>
                  </w:pPr>
                </w:p>
              </w:tc>
              <w:tc>
                <w:tcPr>
                  <w:tcW w:w="0" w:type="auto"/>
                  <w:noWrap w:val="0"/>
                  <w:vAlign w:val="center"/>
                </w:tcPr>
                <w:p w14:paraId="0BC5CFBA">
                  <w:pPr>
                    <w:widowControl w:val="0"/>
                    <w:jc w:val="both"/>
                    <w:rPr>
                      <w:rFonts w:ascii="Calibri" w:hAnsi="Calibri"/>
                      <w:kern w:val="2"/>
                      <w:sz w:val="21"/>
                      <w:lang w:val="en-US" w:eastAsia="zh-CN" w:bidi="ar-SA"/>
                    </w:rPr>
                  </w:pPr>
                </w:p>
              </w:tc>
              <w:tc>
                <w:tcPr>
                  <w:tcW w:w="0" w:type="auto"/>
                  <w:noWrap w:val="0"/>
                  <w:vAlign w:val="center"/>
                </w:tcPr>
                <w:p w14:paraId="74308FBB">
                  <w:pPr>
                    <w:widowControl w:val="0"/>
                    <w:jc w:val="both"/>
                    <w:rPr>
                      <w:rFonts w:ascii="Calibri" w:hAnsi="Calibri"/>
                      <w:kern w:val="2"/>
                      <w:sz w:val="21"/>
                      <w:lang w:val="en-US" w:eastAsia="zh-CN" w:bidi="ar-SA"/>
                    </w:rPr>
                  </w:pPr>
                </w:p>
              </w:tc>
              <w:tc>
                <w:tcPr>
                  <w:tcW w:w="0" w:type="auto"/>
                  <w:noWrap w:val="0"/>
                  <w:vAlign w:val="center"/>
                </w:tcPr>
                <w:p w14:paraId="0047010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ABB9B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61702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氰化物的测定 容量法和分光光度法 HJ 484-2009</w:t>
                  </w:r>
                </w:p>
              </w:tc>
              <w:tc>
                <w:tcPr>
                  <w:tcW w:w="83" w:type="pct"/>
                  <w:noWrap w:val="0"/>
                  <w:vAlign w:val="center"/>
                </w:tcPr>
                <w:p w14:paraId="20997119">
                  <w:pPr>
                    <w:widowControl w:val="0"/>
                    <w:jc w:val="both"/>
                    <w:rPr>
                      <w:rFonts w:ascii="Calibri" w:hAnsi="Calibri"/>
                      <w:kern w:val="2"/>
                      <w:sz w:val="21"/>
                      <w:lang w:val="en-US" w:eastAsia="zh-CN" w:bidi="ar-SA"/>
                    </w:rPr>
                  </w:pPr>
                </w:p>
              </w:tc>
            </w:tr>
            <w:tr w14:paraId="3FBB1B2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45CD23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133</w:t>
                  </w:r>
                </w:p>
              </w:tc>
              <w:tc>
                <w:tcPr>
                  <w:tcW w:w="240" w:type="pct"/>
                  <w:noWrap w:val="0"/>
                  <w:vAlign w:val="center"/>
                </w:tcPr>
                <w:p w14:paraId="77E0672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024A44B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CA0CCD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491506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1C5020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氰化物</w:t>
                  </w:r>
                </w:p>
              </w:tc>
              <w:tc>
                <w:tcPr>
                  <w:tcW w:w="153" w:type="pct"/>
                  <w:noWrap w:val="0"/>
                  <w:vAlign w:val="center"/>
                </w:tcPr>
                <w:p w14:paraId="1FF043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5352281">
                  <w:pPr>
                    <w:widowControl w:val="0"/>
                    <w:jc w:val="both"/>
                    <w:rPr>
                      <w:rFonts w:ascii="Calibri" w:hAnsi="Calibri"/>
                      <w:kern w:val="2"/>
                      <w:sz w:val="21"/>
                      <w:lang w:val="en-US" w:eastAsia="zh-CN" w:bidi="ar-SA"/>
                    </w:rPr>
                  </w:pPr>
                </w:p>
              </w:tc>
              <w:tc>
                <w:tcPr>
                  <w:tcW w:w="0" w:type="auto"/>
                  <w:noWrap w:val="0"/>
                  <w:vAlign w:val="center"/>
                </w:tcPr>
                <w:p w14:paraId="3DE1DDC9">
                  <w:pPr>
                    <w:widowControl w:val="0"/>
                    <w:jc w:val="both"/>
                    <w:rPr>
                      <w:rFonts w:ascii="Calibri" w:hAnsi="Calibri"/>
                      <w:kern w:val="2"/>
                      <w:sz w:val="21"/>
                      <w:lang w:val="en-US" w:eastAsia="zh-CN" w:bidi="ar-SA"/>
                    </w:rPr>
                  </w:pPr>
                </w:p>
              </w:tc>
              <w:tc>
                <w:tcPr>
                  <w:tcW w:w="0" w:type="auto"/>
                  <w:noWrap w:val="0"/>
                  <w:vAlign w:val="center"/>
                </w:tcPr>
                <w:p w14:paraId="12336436">
                  <w:pPr>
                    <w:widowControl w:val="0"/>
                    <w:jc w:val="both"/>
                    <w:rPr>
                      <w:rFonts w:ascii="Calibri" w:hAnsi="Calibri"/>
                      <w:kern w:val="2"/>
                      <w:sz w:val="21"/>
                      <w:lang w:val="en-US" w:eastAsia="zh-CN" w:bidi="ar-SA"/>
                    </w:rPr>
                  </w:pPr>
                </w:p>
              </w:tc>
              <w:tc>
                <w:tcPr>
                  <w:tcW w:w="0" w:type="auto"/>
                  <w:noWrap w:val="0"/>
                  <w:vAlign w:val="center"/>
                </w:tcPr>
                <w:p w14:paraId="1A014024">
                  <w:pPr>
                    <w:widowControl w:val="0"/>
                    <w:jc w:val="both"/>
                    <w:rPr>
                      <w:rFonts w:ascii="Calibri" w:hAnsi="Calibri"/>
                      <w:kern w:val="2"/>
                      <w:sz w:val="21"/>
                      <w:lang w:val="en-US" w:eastAsia="zh-CN" w:bidi="ar-SA"/>
                    </w:rPr>
                  </w:pPr>
                </w:p>
              </w:tc>
              <w:tc>
                <w:tcPr>
                  <w:tcW w:w="0" w:type="auto"/>
                  <w:noWrap w:val="0"/>
                  <w:vAlign w:val="center"/>
                </w:tcPr>
                <w:p w14:paraId="3342B6D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B0B95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6A597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氰化物等的测定 真空检测管-电子比色法HJ 659-2013</w:t>
                  </w:r>
                </w:p>
              </w:tc>
              <w:tc>
                <w:tcPr>
                  <w:tcW w:w="83" w:type="pct"/>
                  <w:noWrap w:val="0"/>
                  <w:vAlign w:val="center"/>
                </w:tcPr>
                <w:p w14:paraId="1CC10E05">
                  <w:pPr>
                    <w:widowControl w:val="0"/>
                    <w:jc w:val="both"/>
                    <w:rPr>
                      <w:rFonts w:ascii="Calibri" w:hAnsi="Calibri"/>
                      <w:kern w:val="2"/>
                      <w:sz w:val="21"/>
                      <w:lang w:val="en-US" w:eastAsia="zh-CN" w:bidi="ar-SA"/>
                    </w:rPr>
                  </w:pPr>
                </w:p>
              </w:tc>
            </w:tr>
            <w:tr w14:paraId="68F1E3B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B25FEE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134</w:t>
                  </w:r>
                </w:p>
              </w:tc>
              <w:tc>
                <w:tcPr>
                  <w:tcW w:w="240" w:type="pct"/>
                  <w:noWrap w:val="0"/>
                  <w:vAlign w:val="center"/>
                </w:tcPr>
                <w:p w14:paraId="16D540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8F64D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F666B2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22DDD0E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0641685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氟化物（以F-计）</w:t>
                  </w:r>
                </w:p>
              </w:tc>
              <w:tc>
                <w:tcPr>
                  <w:tcW w:w="153" w:type="pct"/>
                  <w:noWrap w:val="0"/>
                  <w:vAlign w:val="center"/>
                </w:tcPr>
                <w:p w14:paraId="6F23A1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9771365">
                  <w:pPr>
                    <w:widowControl w:val="0"/>
                    <w:jc w:val="both"/>
                    <w:rPr>
                      <w:rFonts w:ascii="Calibri" w:hAnsi="Calibri"/>
                      <w:kern w:val="2"/>
                      <w:sz w:val="21"/>
                      <w:lang w:val="en-US" w:eastAsia="zh-CN" w:bidi="ar-SA"/>
                    </w:rPr>
                  </w:pPr>
                </w:p>
              </w:tc>
              <w:tc>
                <w:tcPr>
                  <w:tcW w:w="0" w:type="auto"/>
                  <w:noWrap w:val="0"/>
                  <w:vAlign w:val="center"/>
                </w:tcPr>
                <w:p w14:paraId="3A425892">
                  <w:pPr>
                    <w:widowControl w:val="0"/>
                    <w:jc w:val="both"/>
                    <w:rPr>
                      <w:rFonts w:ascii="Calibri" w:hAnsi="Calibri"/>
                      <w:kern w:val="2"/>
                      <w:sz w:val="21"/>
                      <w:lang w:val="en-US" w:eastAsia="zh-CN" w:bidi="ar-SA"/>
                    </w:rPr>
                  </w:pPr>
                </w:p>
              </w:tc>
              <w:tc>
                <w:tcPr>
                  <w:tcW w:w="0" w:type="auto"/>
                  <w:noWrap w:val="0"/>
                  <w:vAlign w:val="center"/>
                </w:tcPr>
                <w:p w14:paraId="196D64EE">
                  <w:pPr>
                    <w:widowControl w:val="0"/>
                    <w:jc w:val="both"/>
                    <w:rPr>
                      <w:rFonts w:ascii="Calibri" w:hAnsi="Calibri"/>
                      <w:kern w:val="2"/>
                      <w:sz w:val="21"/>
                      <w:lang w:val="en-US" w:eastAsia="zh-CN" w:bidi="ar-SA"/>
                    </w:rPr>
                  </w:pPr>
                </w:p>
              </w:tc>
              <w:tc>
                <w:tcPr>
                  <w:tcW w:w="0" w:type="auto"/>
                  <w:noWrap w:val="0"/>
                  <w:vAlign w:val="center"/>
                </w:tcPr>
                <w:p w14:paraId="01AB4F3E">
                  <w:pPr>
                    <w:widowControl w:val="0"/>
                    <w:jc w:val="both"/>
                    <w:rPr>
                      <w:rFonts w:ascii="Calibri" w:hAnsi="Calibri"/>
                      <w:kern w:val="2"/>
                      <w:sz w:val="21"/>
                      <w:lang w:val="en-US" w:eastAsia="zh-CN" w:bidi="ar-SA"/>
                    </w:rPr>
                  </w:pPr>
                </w:p>
              </w:tc>
              <w:tc>
                <w:tcPr>
                  <w:tcW w:w="0" w:type="auto"/>
                  <w:noWrap w:val="0"/>
                  <w:vAlign w:val="center"/>
                </w:tcPr>
                <w:p w14:paraId="39374E4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63E2AD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33353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氟化物的测定 氟试剂分光光度法HJ 488—2009 代替GB 7483—87</w:t>
                  </w:r>
                </w:p>
              </w:tc>
              <w:tc>
                <w:tcPr>
                  <w:tcW w:w="83" w:type="pct"/>
                  <w:noWrap w:val="0"/>
                  <w:vAlign w:val="center"/>
                </w:tcPr>
                <w:p w14:paraId="0AD8D905">
                  <w:pPr>
                    <w:widowControl w:val="0"/>
                    <w:jc w:val="both"/>
                    <w:rPr>
                      <w:rFonts w:ascii="Calibri" w:hAnsi="Calibri"/>
                      <w:kern w:val="2"/>
                      <w:sz w:val="21"/>
                      <w:lang w:val="en-US" w:eastAsia="zh-CN" w:bidi="ar-SA"/>
                    </w:rPr>
                  </w:pPr>
                </w:p>
              </w:tc>
            </w:tr>
            <w:tr w14:paraId="6A63642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CB4E5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135</w:t>
                  </w:r>
                </w:p>
              </w:tc>
              <w:tc>
                <w:tcPr>
                  <w:tcW w:w="240" w:type="pct"/>
                  <w:noWrap w:val="0"/>
                  <w:vAlign w:val="center"/>
                </w:tcPr>
                <w:p w14:paraId="7D089E0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B4AF51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F2E742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CFB063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1DF67E5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氟化物（以F-计）</w:t>
                  </w:r>
                </w:p>
              </w:tc>
              <w:tc>
                <w:tcPr>
                  <w:tcW w:w="153" w:type="pct"/>
                  <w:noWrap w:val="0"/>
                  <w:vAlign w:val="center"/>
                </w:tcPr>
                <w:p w14:paraId="506E64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B37001F">
                  <w:pPr>
                    <w:widowControl w:val="0"/>
                    <w:jc w:val="both"/>
                    <w:rPr>
                      <w:rFonts w:ascii="Calibri" w:hAnsi="Calibri"/>
                      <w:kern w:val="2"/>
                      <w:sz w:val="21"/>
                      <w:lang w:val="en-US" w:eastAsia="zh-CN" w:bidi="ar-SA"/>
                    </w:rPr>
                  </w:pPr>
                </w:p>
              </w:tc>
              <w:tc>
                <w:tcPr>
                  <w:tcW w:w="0" w:type="auto"/>
                  <w:noWrap w:val="0"/>
                  <w:vAlign w:val="center"/>
                </w:tcPr>
                <w:p w14:paraId="072C7205">
                  <w:pPr>
                    <w:widowControl w:val="0"/>
                    <w:jc w:val="both"/>
                    <w:rPr>
                      <w:rFonts w:ascii="Calibri" w:hAnsi="Calibri"/>
                      <w:kern w:val="2"/>
                      <w:sz w:val="21"/>
                      <w:lang w:val="en-US" w:eastAsia="zh-CN" w:bidi="ar-SA"/>
                    </w:rPr>
                  </w:pPr>
                </w:p>
              </w:tc>
              <w:tc>
                <w:tcPr>
                  <w:tcW w:w="0" w:type="auto"/>
                  <w:noWrap w:val="0"/>
                  <w:vAlign w:val="center"/>
                </w:tcPr>
                <w:p w14:paraId="32A94921">
                  <w:pPr>
                    <w:widowControl w:val="0"/>
                    <w:jc w:val="both"/>
                    <w:rPr>
                      <w:rFonts w:ascii="Calibri" w:hAnsi="Calibri"/>
                      <w:kern w:val="2"/>
                      <w:sz w:val="21"/>
                      <w:lang w:val="en-US" w:eastAsia="zh-CN" w:bidi="ar-SA"/>
                    </w:rPr>
                  </w:pPr>
                </w:p>
              </w:tc>
              <w:tc>
                <w:tcPr>
                  <w:tcW w:w="0" w:type="auto"/>
                  <w:noWrap w:val="0"/>
                  <w:vAlign w:val="center"/>
                </w:tcPr>
                <w:p w14:paraId="6ADE88CA">
                  <w:pPr>
                    <w:widowControl w:val="0"/>
                    <w:jc w:val="both"/>
                    <w:rPr>
                      <w:rFonts w:ascii="Calibri" w:hAnsi="Calibri"/>
                      <w:kern w:val="2"/>
                      <w:sz w:val="21"/>
                      <w:lang w:val="en-US" w:eastAsia="zh-CN" w:bidi="ar-SA"/>
                    </w:rPr>
                  </w:pPr>
                </w:p>
              </w:tc>
              <w:tc>
                <w:tcPr>
                  <w:tcW w:w="0" w:type="auto"/>
                  <w:noWrap w:val="0"/>
                  <w:vAlign w:val="center"/>
                </w:tcPr>
                <w:p w14:paraId="1FE2F2C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A91E8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8A87D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氟化物的测定 氟试剂分光光度法HJ 488—2009 代替GB 7483—87</w:t>
                  </w:r>
                </w:p>
              </w:tc>
              <w:tc>
                <w:tcPr>
                  <w:tcW w:w="83" w:type="pct"/>
                  <w:noWrap w:val="0"/>
                  <w:vAlign w:val="center"/>
                </w:tcPr>
                <w:p w14:paraId="2375CCE7">
                  <w:pPr>
                    <w:widowControl w:val="0"/>
                    <w:jc w:val="both"/>
                    <w:rPr>
                      <w:rFonts w:ascii="Calibri" w:hAnsi="Calibri"/>
                      <w:kern w:val="2"/>
                      <w:sz w:val="21"/>
                      <w:lang w:val="en-US" w:eastAsia="zh-CN" w:bidi="ar-SA"/>
                    </w:rPr>
                  </w:pPr>
                </w:p>
              </w:tc>
            </w:tr>
            <w:tr w14:paraId="6205F1C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003C89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136</w:t>
                  </w:r>
                </w:p>
              </w:tc>
              <w:tc>
                <w:tcPr>
                  <w:tcW w:w="240" w:type="pct"/>
                  <w:noWrap w:val="0"/>
                  <w:vAlign w:val="center"/>
                </w:tcPr>
                <w:p w14:paraId="16F2713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082D78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7A1F9C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613417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721C80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氟化物（以F-计）</w:t>
                  </w:r>
                </w:p>
              </w:tc>
              <w:tc>
                <w:tcPr>
                  <w:tcW w:w="153" w:type="pct"/>
                  <w:noWrap w:val="0"/>
                  <w:vAlign w:val="center"/>
                </w:tcPr>
                <w:p w14:paraId="18BB402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21B017B">
                  <w:pPr>
                    <w:widowControl w:val="0"/>
                    <w:jc w:val="both"/>
                    <w:rPr>
                      <w:rFonts w:ascii="Calibri" w:hAnsi="Calibri"/>
                      <w:kern w:val="2"/>
                      <w:sz w:val="21"/>
                      <w:lang w:val="en-US" w:eastAsia="zh-CN" w:bidi="ar-SA"/>
                    </w:rPr>
                  </w:pPr>
                </w:p>
              </w:tc>
              <w:tc>
                <w:tcPr>
                  <w:tcW w:w="0" w:type="auto"/>
                  <w:noWrap w:val="0"/>
                  <w:vAlign w:val="center"/>
                </w:tcPr>
                <w:p w14:paraId="1ACE0076">
                  <w:pPr>
                    <w:widowControl w:val="0"/>
                    <w:jc w:val="both"/>
                    <w:rPr>
                      <w:rFonts w:ascii="Calibri" w:hAnsi="Calibri"/>
                      <w:kern w:val="2"/>
                      <w:sz w:val="21"/>
                      <w:lang w:val="en-US" w:eastAsia="zh-CN" w:bidi="ar-SA"/>
                    </w:rPr>
                  </w:pPr>
                </w:p>
              </w:tc>
              <w:tc>
                <w:tcPr>
                  <w:tcW w:w="0" w:type="auto"/>
                  <w:noWrap w:val="0"/>
                  <w:vAlign w:val="center"/>
                </w:tcPr>
                <w:p w14:paraId="572DA52F">
                  <w:pPr>
                    <w:widowControl w:val="0"/>
                    <w:jc w:val="both"/>
                    <w:rPr>
                      <w:rFonts w:ascii="Calibri" w:hAnsi="Calibri"/>
                      <w:kern w:val="2"/>
                      <w:sz w:val="21"/>
                      <w:lang w:val="en-US" w:eastAsia="zh-CN" w:bidi="ar-SA"/>
                    </w:rPr>
                  </w:pPr>
                </w:p>
              </w:tc>
              <w:tc>
                <w:tcPr>
                  <w:tcW w:w="0" w:type="auto"/>
                  <w:noWrap w:val="0"/>
                  <w:vAlign w:val="center"/>
                </w:tcPr>
                <w:p w14:paraId="770968BC">
                  <w:pPr>
                    <w:widowControl w:val="0"/>
                    <w:jc w:val="both"/>
                    <w:rPr>
                      <w:rFonts w:ascii="Calibri" w:hAnsi="Calibri"/>
                      <w:kern w:val="2"/>
                      <w:sz w:val="21"/>
                      <w:lang w:val="en-US" w:eastAsia="zh-CN" w:bidi="ar-SA"/>
                    </w:rPr>
                  </w:pPr>
                </w:p>
              </w:tc>
              <w:tc>
                <w:tcPr>
                  <w:tcW w:w="0" w:type="auto"/>
                  <w:noWrap w:val="0"/>
                  <w:vAlign w:val="center"/>
                </w:tcPr>
                <w:p w14:paraId="2ADDAC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5CE6F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A3BA0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氟化物的测定 氟试剂分光光度法HJ 488—2009 代替GB 7483—87</w:t>
                  </w:r>
                </w:p>
              </w:tc>
              <w:tc>
                <w:tcPr>
                  <w:tcW w:w="83" w:type="pct"/>
                  <w:noWrap w:val="0"/>
                  <w:vAlign w:val="center"/>
                </w:tcPr>
                <w:p w14:paraId="0F7763A1">
                  <w:pPr>
                    <w:widowControl w:val="0"/>
                    <w:jc w:val="both"/>
                    <w:rPr>
                      <w:rFonts w:ascii="Calibri" w:hAnsi="Calibri"/>
                      <w:kern w:val="2"/>
                      <w:sz w:val="21"/>
                      <w:lang w:val="en-US" w:eastAsia="zh-CN" w:bidi="ar-SA"/>
                    </w:rPr>
                  </w:pPr>
                </w:p>
              </w:tc>
            </w:tr>
            <w:tr w14:paraId="6930F24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99422C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137</w:t>
                  </w:r>
                </w:p>
              </w:tc>
              <w:tc>
                <w:tcPr>
                  <w:tcW w:w="240" w:type="pct"/>
                  <w:noWrap w:val="0"/>
                  <w:vAlign w:val="center"/>
                </w:tcPr>
                <w:p w14:paraId="3A68B22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5990A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F3E6FE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05AEE3A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88F39A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碘化物</w:t>
                  </w:r>
                </w:p>
              </w:tc>
              <w:tc>
                <w:tcPr>
                  <w:tcW w:w="153" w:type="pct"/>
                  <w:noWrap w:val="0"/>
                  <w:vAlign w:val="center"/>
                </w:tcPr>
                <w:p w14:paraId="35C029B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FB63737">
                  <w:pPr>
                    <w:widowControl w:val="0"/>
                    <w:jc w:val="both"/>
                    <w:rPr>
                      <w:rFonts w:ascii="Calibri" w:hAnsi="Calibri"/>
                      <w:kern w:val="2"/>
                      <w:sz w:val="21"/>
                      <w:lang w:val="en-US" w:eastAsia="zh-CN" w:bidi="ar-SA"/>
                    </w:rPr>
                  </w:pPr>
                </w:p>
              </w:tc>
              <w:tc>
                <w:tcPr>
                  <w:tcW w:w="0" w:type="auto"/>
                  <w:noWrap w:val="0"/>
                  <w:vAlign w:val="center"/>
                </w:tcPr>
                <w:p w14:paraId="74899D71">
                  <w:pPr>
                    <w:widowControl w:val="0"/>
                    <w:jc w:val="both"/>
                    <w:rPr>
                      <w:rFonts w:ascii="Calibri" w:hAnsi="Calibri"/>
                      <w:kern w:val="2"/>
                      <w:sz w:val="21"/>
                      <w:lang w:val="en-US" w:eastAsia="zh-CN" w:bidi="ar-SA"/>
                    </w:rPr>
                  </w:pPr>
                </w:p>
              </w:tc>
              <w:tc>
                <w:tcPr>
                  <w:tcW w:w="0" w:type="auto"/>
                  <w:noWrap w:val="0"/>
                  <w:vAlign w:val="center"/>
                </w:tcPr>
                <w:p w14:paraId="25BBBB8B">
                  <w:pPr>
                    <w:widowControl w:val="0"/>
                    <w:jc w:val="both"/>
                    <w:rPr>
                      <w:rFonts w:ascii="Calibri" w:hAnsi="Calibri"/>
                      <w:kern w:val="2"/>
                      <w:sz w:val="21"/>
                      <w:lang w:val="en-US" w:eastAsia="zh-CN" w:bidi="ar-SA"/>
                    </w:rPr>
                  </w:pPr>
                </w:p>
              </w:tc>
              <w:tc>
                <w:tcPr>
                  <w:tcW w:w="0" w:type="auto"/>
                  <w:noWrap w:val="0"/>
                  <w:vAlign w:val="center"/>
                </w:tcPr>
                <w:p w14:paraId="2B7C0819">
                  <w:pPr>
                    <w:widowControl w:val="0"/>
                    <w:jc w:val="both"/>
                    <w:rPr>
                      <w:rFonts w:ascii="Calibri" w:hAnsi="Calibri"/>
                      <w:kern w:val="2"/>
                      <w:sz w:val="21"/>
                      <w:lang w:val="en-US" w:eastAsia="zh-CN" w:bidi="ar-SA"/>
                    </w:rPr>
                  </w:pPr>
                </w:p>
              </w:tc>
              <w:tc>
                <w:tcPr>
                  <w:tcW w:w="0" w:type="auto"/>
                  <w:noWrap w:val="0"/>
                  <w:vAlign w:val="center"/>
                </w:tcPr>
                <w:p w14:paraId="365F741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04D4EF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086939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 方法 无机非金属指标》（11.4 碘化物 气相色谱法）（GB/T 5750.5-2022）</w:t>
                  </w:r>
                </w:p>
              </w:tc>
              <w:tc>
                <w:tcPr>
                  <w:tcW w:w="83" w:type="pct"/>
                  <w:noWrap w:val="0"/>
                  <w:vAlign w:val="center"/>
                </w:tcPr>
                <w:p w14:paraId="10A25929">
                  <w:pPr>
                    <w:widowControl w:val="0"/>
                    <w:jc w:val="both"/>
                    <w:rPr>
                      <w:rFonts w:ascii="Calibri" w:hAnsi="Calibri"/>
                      <w:kern w:val="2"/>
                      <w:sz w:val="21"/>
                      <w:lang w:val="en-US" w:eastAsia="zh-CN" w:bidi="ar-SA"/>
                    </w:rPr>
                  </w:pPr>
                </w:p>
              </w:tc>
            </w:tr>
            <w:tr w14:paraId="6A55FC0C">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DCDC4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138</w:t>
                  </w:r>
                </w:p>
              </w:tc>
              <w:tc>
                <w:tcPr>
                  <w:tcW w:w="240" w:type="pct"/>
                  <w:noWrap w:val="0"/>
                  <w:vAlign w:val="center"/>
                </w:tcPr>
                <w:p w14:paraId="36FEE51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E6751F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49758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DC3BD6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6D55E22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碘化物</w:t>
                  </w:r>
                </w:p>
              </w:tc>
              <w:tc>
                <w:tcPr>
                  <w:tcW w:w="153" w:type="pct"/>
                  <w:noWrap w:val="0"/>
                  <w:vAlign w:val="center"/>
                </w:tcPr>
                <w:p w14:paraId="3290E9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2E627E5">
                  <w:pPr>
                    <w:widowControl w:val="0"/>
                    <w:jc w:val="both"/>
                    <w:rPr>
                      <w:rFonts w:ascii="Calibri" w:hAnsi="Calibri"/>
                      <w:kern w:val="2"/>
                      <w:sz w:val="21"/>
                      <w:lang w:val="en-US" w:eastAsia="zh-CN" w:bidi="ar-SA"/>
                    </w:rPr>
                  </w:pPr>
                </w:p>
              </w:tc>
              <w:tc>
                <w:tcPr>
                  <w:tcW w:w="0" w:type="auto"/>
                  <w:noWrap w:val="0"/>
                  <w:vAlign w:val="center"/>
                </w:tcPr>
                <w:p w14:paraId="4E25FF72">
                  <w:pPr>
                    <w:widowControl w:val="0"/>
                    <w:jc w:val="both"/>
                    <w:rPr>
                      <w:rFonts w:ascii="Calibri" w:hAnsi="Calibri"/>
                      <w:kern w:val="2"/>
                      <w:sz w:val="21"/>
                      <w:lang w:val="en-US" w:eastAsia="zh-CN" w:bidi="ar-SA"/>
                    </w:rPr>
                  </w:pPr>
                </w:p>
              </w:tc>
              <w:tc>
                <w:tcPr>
                  <w:tcW w:w="0" w:type="auto"/>
                  <w:noWrap w:val="0"/>
                  <w:vAlign w:val="center"/>
                </w:tcPr>
                <w:p w14:paraId="101522B3">
                  <w:pPr>
                    <w:widowControl w:val="0"/>
                    <w:jc w:val="both"/>
                    <w:rPr>
                      <w:rFonts w:ascii="Calibri" w:hAnsi="Calibri"/>
                      <w:kern w:val="2"/>
                      <w:sz w:val="21"/>
                      <w:lang w:val="en-US" w:eastAsia="zh-CN" w:bidi="ar-SA"/>
                    </w:rPr>
                  </w:pPr>
                </w:p>
              </w:tc>
              <w:tc>
                <w:tcPr>
                  <w:tcW w:w="0" w:type="auto"/>
                  <w:noWrap w:val="0"/>
                  <w:vAlign w:val="center"/>
                </w:tcPr>
                <w:p w14:paraId="783346F3">
                  <w:pPr>
                    <w:widowControl w:val="0"/>
                    <w:jc w:val="both"/>
                    <w:rPr>
                      <w:rFonts w:ascii="Calibri" w:hAnsi="Calibri"/>
                      <w:kern w:val="2"/>
                      <w:sz w:val="21"/>
                      <w:lang w:val="en-US" w:eastAsia="zh-CN" w:bidi="ar-SA"/>
                    </w:rPr>
                  </w:pPr>
                </w:p>
              </w:tc>
              <w:tc>
                <w:tcPr>
                  <w:tcW w:w="0" w:type="auto"/>
                  <w:noWrap w:val="0"/>
                  <w:vAlign w:val="center"/>
                </w:tcPr>
                <w:p w14:paraId="07E079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53F452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1AD87E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 方法 无机非金属指标》（11.4 碘化物 气相色谱法）（GB/T 5750.5-2022）</w:t>
                  </w:r>
                </w:p>
              </w:tc>
              <w:tc>
                <w:tcPr>
                  <w:tcW w:w="83" w:type="pct"/>
                  <w:noWrap w:val="0"/>
                  <w:vAlign w:val="center"/>
                </w:tcPr>
                <w:p w14:paraId="5D13A3DD">
                  <w:pPr>
                    <w:widowControl w:val="0"/>
                    <w:jc w:val="both"/>
                    <w:rPr>
                      <w:rFonts w:ascii="Calibri" w:hAnsi="Calibri"/>
                      <w:kern w:val="2"/>
                      <w:sz w:val="21"/>
                      <w:lang w:val="en-US" w:eastAsia="zh-CN" w:bidi="ar-SA"/>
                    </w:rPr>
                  </w:pPr>
                </w:p>
              </w:tc>
            </w:tr>
            <w:tr w14:paraId="242BEE5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4557C0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139</w:t>
                  </w:r>
                </w:p>
              </w:tc>
              <w:tc>
                <w:tcPr>
                  <w:tcW w:w="240" w:type="pct"/>
                  <w:noWrap w:val="0"/>
                  <w:vAlign w:val="center"/>
                </w:tcPr>
                <w:p w14:paraId="753CC7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5B404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90B63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332A17F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BFE58C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碘化物</w:t>
                  </w:r>
                </w:p>
              </w:tc>
              <w:tc>
                <w:tcPr>
                  <w:tcW w:w="153" w:type="pct"/>
                  <w:noWrap w:val="0"/>
                  <w:vAlign w:val="center"/>
                </w:tcPr>
                <w:p w14:paraId="2EFEBB5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4B4898B">
                  <w:pPr>
                    <w:widowControl w:val="0"/>
                    <w:jc w:val="both"/>
                    <w:rPr>
                      <w:rFonts w:ascii="Calibri" w:hAnsi="Calibri"/>
                      <w:kern w:val="2"/>
                      <w:sz w:val="21"/>
                      <w:lang w:val="en-US" w:eastAsia="zh-CN" w:bidi="ar-SA"/>
                    </w:rPr>
                  </w:pPr>
                </w:p>
              </w:tc>
              <w:tc>
                <w:tcPr>
                  <w:tcW w:w="0" w:type="auto"/>
                  <w:noWrap w:val="0"/>
                  <w:vAlign w:val="center"/>
                </w:tcPr>
                <w:p w14:paraId="3C9C452E">
                  <w:pPr>
                    <w:widowControl w:val="0"/>
                    <w:jc w:val="both"/>
                    <w:rPr>
                      <w:rFonts w:ascii="Calibri" w:hAnsi="Calibri"/>
                      <w:kern w:val="2"/>
                      <w:sz w:val="21"/>
                      <w:lang w:val="en-US" w:eastAsia="zh-CN" w:bidi="ar-SA"/>
                    </w:rPr>
                  </w:pPr>
                </w:p>
              </w:tc>
              <w:tc>
                <w:tcPr>
                  <w:tcW w:w="0" w:type="auto"/>
                  <w:noWrap w:val="0"/>
                  <w:vAlign w:val="center"/>
                </w:tcPr>
                <w:p w14:paraId="28F2C03D">
                  <w:pPr>
                    <w:widowControl w:val="0"/>
                    <w:jc w:val="both"/>
                    <w:rPr>
                      <w:rFonts w:ascii="Calibri" w:hAnsi="Calibri"/>
                      <w:kern w:val="2"/>
                      <w:sz w:val="21"/>
                      <w:lang w:val="en-US" w:eastAsia="zh-CN" w:bidi="ar-SA"/>
                    </w:rPr>
                  </w:pPr>
                </w:p>
              </w:tc>
              <w:tc>
                <w:tcPr>
                  <w:tcW w:w="0" w:type="auto"/>
                  <w:noWrap w:val="0"/>
                  <w:vAlign w:val="center"/>
                </w:tcPr>
                <w:p w14:paraId="2CCDBDD3">
                  <w:pPr>
                    <w:widowControl w:val="0"/>
                    <w:jc w:val="both"/>
                    <w:rPr>
                      <w:rFonts w:ascii="Calibri" w:hAnsi="Calibri"/>
                      <w:kern w:val="2"/>
                      <w:sz w:val="21"/>
                      <w:lang w:val="en-US" w:eastAsia="zh-CN" w:bidi="ar-SA"/>
                    </w:rPr>
                  </w:pPr>
                </w:p>
              </w:tc>
              <w:tc>
                <w:tcPr>
                  <w:tcW w:w="0" w:type="auto"/>
                  <w:noWrap w:val="0"/>
                  <w:vAlign w:val="center"/>
                </w:tcPr>
                <w:p w14:paraId="140A472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DC7C76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DE608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 方法 无机非金属指标》（11.4 碘化物 气相色谱法）（GB/T 5750.5-2022）</w:t>
                  </w:r>
                </w:p>
              </w:tc>
              <w:tc>
                <w:tcPr>
                  <w:tcW w:w="83" w:type="pct"/>
                  <w:noWrap w:val="0"/>
                  <w:vAlign w:val="center"/>
                </w:tcPr>
                <w:p w14:paraId="1D93FEF0">
                  <w:pPr>
                    <w:widowControl w:val="0"/>
                    <w:jc w:val="both"/>
                    <w:rPr>
                      <w:rFonts w:ascii="Calibri" w:hAnsi="Calibri"/>
                      <w:kern w:val="2"/>
                      <w:sz w:val="21"/>
                      <w:lang w:val="en-US" w:eastAsia="zh-CN" w:bidi="ar-SA"/>
                    </w:rPr>
                  </w:pPr>
                </w:p>
              </w:tc>
            </w:tr>
            <w:tr w14:paraId="565CFDC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27DE0B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140</w:t>
                  </w:r>
                </w:p>
              </w:tc>
              <w:tc>
                <w:tcPr>
                  <w:tcW w:w="240" w:type="pct"/>
                  <w:noWrap w:val="0"/>
                  <w:vAlign w:val="center"/>
                </w:tcPr>
                <w:p w14:paraId="648FDA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800E57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529D85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504ED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7A85519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氯化物（以Cl-计）</w:t>
                  </w:r>
                </w:p>
              </w:tc>
              <w:tc>
                <w:tcPr>
                  <w:tcW w:w="153" w:type="pct"/>
                  <w:noWrap w:val="0"/>
                  <w:vAlign w:val="center"/>
                </w:tcPr>
                <w:p w14:paraId="1DB420F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7C295E1">
                  <w:pPr>
                    <w:widowControl w:val="0"/>
                    <w:jc w:val="both"/>
                    <w:rPr>
                      <w:rFonts w:ascii="Calibri" w:hAnsi="Calibri"/>
                      <w:kern w:val="2"/>
                      <w:sz w:val="21"/>
                      <w:lang w:val="en-US" w:eastAsia="zh-CN" w:bidi="ar-SA"/>
                    </w:rPr>
                  </w:pPr>
                </w:p>
              </w:tc>
              <w:tc>
                <w:tcPr>
                  <w:tcW w:w="0" w:type="auto"/>
                  <w:noWrap w:val="0"/>
                  <w:vAlign w:val="center"/>
                </w:tcPr>
                <w:p w14:paraId="27BFC43B">
                  <w:pPr>
                    <w:widowControl w:val="0"/>
                    <w:jc w:val="both"/>
                    <w:rPr>
                      <w:rFonts w:ascii="Calibri" w:hAnsi="Calibri"/>
                      <w:kern w:val="2"/>
                      <w:sz w:val="21"/>
                      <w:lang w:val="en-US" w:eastAsia="zh-CN" w:bidi="ar-SA"/>
                    </w:rPr>
                  </w:pPr>
                </w:p>
              </w:tc>
              <w:tc>
                <w:tcPr>
                  <w:tcW w:w="0" w:type="auto"/>
                  <w:noWrap w:val="0"/>
                  <w:vAlign w:val="center"/>
                </w:tcPr>
                <w:p w14:paraId="39E19480">
                  <w:pPr>
                    <w:widowControl w:val="0"/>
                    <w:jc w:val="both"/>
                    <w:rPr>
                      <w:rFonts w:ascii="Calibri" w:hAnsi="Calibri"/>
                      <w:kern w:val="2"/>
                      <w:sz w:val="21"/>
                      <w:lang w:val="en-US" w:eastAsia="zh-CN" w:bidi="ar-SA"/>
                    </w:rPr>
                  </w:pPr>
                </w:p>
              </w:tc>
              <w:tc>
                <w:tcPr>
                  <w:tcW w:w="0" w:type="auto"/>
                  <w:noWrap w:val="0"/>
                  <w:vAlign w:val="center"/>
                </w:tcPr>
                <w:p w14:paraId="303A61F7">
                  <w:pPr>
                    <w:widowControl w:val="0"/>
                    <w:jc w:val="both"/>
                    <w:rPr>
                      <w:rFonts w:ascii="Calibri" w:hAnsi="Calibri"/>
                      <w:kern w:val="2"/>
                      <w:sz w:val="21"/>
                      <w:lang w:val="en-US" w:eastAsia="zh-CN" w:bidi="ar-SA"/>
                    </w:rPr>
                  </w:pPr>
                </w:p>
              </w:tc>
              <w:tc>
                <w:tcPr>
                  <w:tcW w:w="0" w:type="auto"/>
                  <w:noWrap w:val="0"/>
                  <w:vAlign w:val="center"/>
                </w:tcPr>
                <w:p w14:paraId="3E76FA6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34C71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4F324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 方法 无机非金属指标》（2.1 氯化物 硝酸银容量法）（GB/T 5750.5-2022）</w:t>
                  </w:r>
                </w:p>
              </w:tc>
              <w:tc>
                <w:tcPr>
                  <w:tcW w:w="83" w:type="pct"/>
                  <w:noWrap w:val="0"/>
                  <w:vAlign w:val="center"/>
                </w:tcPr>
                <w:p w14:paraId="4E3DB652">
                  <w:pPr>
                    <w:widowControl w:val="0"/>
                    <w:jc w:val="both"/>
                    <w:rPr>
                      <w:rFonts w:ascii="Calibri" w:hAnsi="Calibri"/>
                      <w:kern w:val="2"/>
                      <w:sz w:val="21"/>
                      <w:lang w:val="en-US" w:eastAsia="zh-CN" w:bidi="ar-SA"/>
                    </w:rPr>
                  </w:pPr>
                </w:p>
              </w:tc>
            </w:tr>
            <w:tr w14:paraId="51FC5DB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52CBBE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141</w:t>
                  </w:r>
                </w:p>
              </w:tc>
              <w:tc>
                <w:tcPr>
                  <w:tcW w:w="240" w:type="pct"/>
                  <w:noWrap w:val="0"/>
                  <w:vAlign w:val="center"/>
                </w:tcPr>
                <w:p w14:paraId="56C54D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248423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6B7F05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367BEC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18FF7A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氯化物（以Cl-计）</w:t>
                  </w:r>
                </w:p>
              </w:tc>
              <w:tc>
                <w:tcPr>
                  <w:tcW w:w="153" w:type="pct"/>
                  <w:noWrap w:val="0"/>
                  <w:vAlign w:val="center"/>
                </w:tcPr>
                <w:p w14:paraId="2B33E1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D291EF6">
                  <w:pPr>
                    <w:widowControl w:val="0"/>
                    <w:jc w:val="both"/>
                    <w:rPr>
                      <w:rFonts w:ascii="Calibri" w:hAnsi="Calibri"/>
                      <w:kern w:val="2"/>
                      <w:sz w:val="21"/>
                      <w:lang w:val="en-US" w:eastAsia="zh-CN" w:bidi="ar-SA"/>
                    </w:rPr>
                  </w:pPr>
                </w:p>
              </w:tc>
              <w:tc>
                <w:tcPr>
                  <w:tcW w:w="0" w:type="auto"/>
                  <w:noWrap w:val="0"/>
                  <w:vAlign w:val="center"/>
                </w:tcPr>
                <w:p w14:paraId="43E1CFD8">
                  <w:pPr>
                    <w:widowControl w:val="0"/>
                    <w:jc w:val="both"/>
                    <w:rPr>
                      <w:rFonts w:ascii="Calibri" w:hAnsi="Calibri"/>
                      <w:kern w:val="2"/>
                      <w:sz w:val="21"/>
                      <w:lang w:val="en-US" w:eastAsia="zh-CN" w:bidi="ar-SA"/>
                    </w:rPr>
                  </w:pPr>
                </w:p>
              </w:tc>
              <w:tc>
                <w:tcPr>
                  <w:tcW w:w="0" w:type="auto"/>
                  <w:noWrap w:val="0"/>
                  <w:vAlign w:val="center"/>
                </w:tcPr>
                <w:p w14:paraId="52EE057A">
                  <w:pPr>
                    <w:widowControl w:val="0"/>
                    <w:jc w:val="both"/>
                    <w:rPr>
                      <w:rFonts w:ascii="Calibri" w:hAnsi="Calibri"/>
                      <w:kern w:val="2"/>
                      <w:sz w:val="21"/>
                      <w:lang w:val="en-US" w:eastAsia="zh-CN" w:bidi="ar-SA"/>
                    </w:rPr>
                  </w:pPr>
                </w:p>
              </w:tc>
              <w:tc>
                <w:tcPr>
                  <w:tcW w:w="0" w:type="auto"/>
                  <w:noWrap w:val="0"/>
                  <w:vAlign w:val="center"/>
                </w:tcPr>
                <w:p w14:paraId="0118F74C">
                  <w:pPr>
                    <w:widowControl w:val="0"/>
                    <w:jc w:val="both"/>
                    <w:rPr>
                      <w:rFonts w:ascii="Calibri" w:hAnsi="Calibri"/>
                      <w:kern w:val="2"/>
                      <w:sz w:val="21"/>
                      <w:lang w:val="en-US" w:eastAsia="zh-CN" w:bidi="ar-SA"/>
                    </w:rPr>
                  </w:pPr>
                </w:p>
              </w:tc>
              <w:tc>
                <w:tcPr>
                  <w:tcW w:w="0" w:type="auto"/>
                  <w:noWrap w:val="0"/>
                  <w:vAlign w:val="center"/>
                </w:tcPr>
                <w:p w14:paraId="1DB31D0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262F84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3C3917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 方法 无机非金属指标》（2.1 氯化物 硝酸银容量法）（GB/T 5750.5-2022）</w:t>
                  </w:r>
                </w:p>
              </w:tc>
              <w:tc>
                <w:tcPr>
                  <w:tcW w:w="83" w:type="pct"/>
                  <w:noWrap w:val="0"/>
                  <w:vAlign w:val="center"/>
                </w:tcPr>
                <w:p w14:paraId="3D8CFD7A">
                  <w:pPr>
                    <w:widowControl w:val="0"/>
                    <w:jc w:val="both"/>
                    <w:rPr>
                      <w:rFonts w:ascii="Calibri" w:hAnsi="Calibri"/>
                      <w:kern w:val="2"/>
                      <w:sz w:val="21"/>
                      <w:lang w:val="en-US" w:eastAsia="zh-CN" w:bidi="ar-SA"/>
                    </w:rPr>
                  </w:pPr>
                </w:p>
              </w:tc>
            </w:tr>
            <w:tr w14:paraId="37D29024">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A29712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142</w:t>
                  </w:r>
                </w:p>
              </w:tc>
              <w:tc>
                <w:tcPr>
                  <w:tcW w:w="240" w:type="pct"/>
                  <w:noWrap w:val="0"/>
                  <w:vAlign w:val="center"/>
                </w:tcPr>
                <w:p w14:paraId="104467B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83443C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AC24EC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3B2619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4ACE04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氯化物（以Cl-计）</w:t>
                  </w:r>
                </w:p>
              </w:tc>
              <w:tc>
                <w:tcPr>
                  <w:tcW w:w="153" w:type="pct"/>
                  <w:noWrap w:val="0"/>
                  <w:vAlign w:val="center"/>
                </w:tcPr>
                <w:p w14:paraId="7C6D8AB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256A879">
                  <w:pPr>
                    <w:widowControl w:val="0"/>
                    <w:jc w:val="both"/>
                    <w:rPr>
                      <w:rFonts w:ascii="Calibri" w:hAnsi="Calibri"/>
                      <w:kern w:val="2"/>
                      <w:sz w:val="21"/>
                      <w:lang w:val="en-US" w:eastAsia="zh-CN" w:bidi="ar-SA"/>
                    </w:rPr>
                  </w:pPr>
                </w:p>
              </w:tc>
              <w:tc>
                <w:tcPr>
                  <w:tcW w:w="0" w:type="auto"/>
                  <w:noWrap w:val="0"/>
                  <w:vAlign w:val="center"/>
                </w:tcPr>
                <w:p w14:paraId="36ECB6CB">
                  <w:pPr>
                    <w:widowControl w:val="0"/>
                    <w:jc w:val="both"/>
                    <w:rPr>
                      <w:rFonts w:ascii="Calibri" w:hAnsi="Calibri"/>
                      <w:kern w:val="2"/>
                      <w:sz w:val="21"/>
                      <w:lang w:val="en-US" w:eastAsia="zh-CN" w:bidi="ar-SA"/>
                    </w:rPr>
                  </w:pPr>
                </w:p>
              </w:tc>
              <w:tc>
                <w:tcPr>
                  <w:tcW w:w="0" w:type="auto"/>
                  <w:noWrap w:val="0"/>
                  <w:vAlign w:val="center"/>
                </w:tcPr>
                <w:p w14:paraId="35A3DB94">
                  <w:pPr>
                    <w:widowControl w:val="0"/>
                    <w:jc w:val="both"/>
                    <w:rPr>
                      <w:rFonts w:ascii="Calibri" w:hAnsi="Calibri"/>
                      <w:kern w:val="2"/>
                      <w:sz w:val="21"/>
                      <w:lang w:val="en-US" w:eastAsia="zh-CN" w:bidi="ar-SA"/>
                    </w:rPr>
                  </w:pPr>
                </w:p>
              </w:tc>
              <w:tc>
                <w:tcPr>
                  <w:tcW w:w="0" w:type="auto"/>
                  <w:noWrap w:val="0"/>
                  <w:vAlign w:val="center"/>
                </w:tcPr>
                <w:p w14:paraId="695EDAA6">
                  <w:pPr>
                    <w:widowControl w:val="0"/>
                    <w:jc w:val="both"/>
                    <w:rPr>
                      <w:rFonts w:ascii="Calibri" w:hAnsi="Calibri"/>
                      <w:kern w:val="2"/>
                      <w:sz w:val="21"/>
                      <w:lang w:val="en-US" w:eastAsia="zh-CN" w:bidi="ar-SA"/>
                    </w:rPr>
                  </w:pPr>
                </w:p>
              </w:tc>
              <w:tc>
                <w:tcPr>
                  <w:tcW w:w="0" w:type="auto"/>
                  <w:noWrap w:val="0"/>
                  <w:vAlign w:val="center"/>
                </w:tcPr>
                <w:p w14:paraId="10447A4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08CE5D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A7500F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 方法 无机非金属指标》（2.1 氯化物 硝酸银容量法）（GB/T 5750.5-2022）</w:t>
                  </w:r>
                </w:p>
              </w:tc>
              <w:tc>
                <w:tcPr>
                  <w:tcW w:w="83" w:type="pct"/>
                  <w:noWrap w:val="0"/>
                  <w:vAlign w:val="center"/>
                </w:tcPr>
                <w:p w14:paraId="0420E75C">
                  <w:pPr>
                    <w:widowControl w:val="0"/>
                    <w:jc w:val="both"/>
                    <w:rPr>
                      <w:rFonts w:ascii="Calibri" w:hAnsi="Calibri"/>
                      <w:kern w:val="2"/>
                      <w:sz w:val="21"/>
                      <w:lang w:val="en-US" w:eastAsia="zh-CN" w:bidi="ar-SA"/>
                    </w:rPr>
                  </w:pPr>
                </w:p>
              </w:tc>
            </w:tr>
            <w:tr w14:paraId="081A8EB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F71A0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143</w:t>
                  </w:r>
                </w:p>
              </w:tc>
              <w:tc>
                <w:tcPr>
                  <w:tcW w:w="240" w:type="pct"/>
                  <w:noWrap w:val="0"/>
                  <w:vAlign w:val="center"/>
                </w:tcPr>
                <w:p w14:paraId="4D10ABE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AD0155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3FFB3AA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56D96B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99799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硫酸盐（以SO42-计）</w:t>
                  </w:r>
                </w:p>
              </w:tc>
              <w:tc>
                <w:tcPr>
                  <w:tcW w:w="153" w:type="pct"/>
                  <w:noWrap w:val="0"/>
                  <w:vAlign w:val="center"/>
                </w:tcPr>
                <w:p w14:paraId="359DB0F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FC01958">
                  <w:pPr>
                    <w:widowControl w:val="0"/>
                    <w:jc w:val="both"/>
                    <w:rPr>
                      <w:rFonts w:ascii="Calibri" w:hAnsi="Calibri"/>
                      <w:kern w:val="2"/>
                      <w:sz w:val="21"/>
                      <w:lang w:val="en-US" w:eastAsia="zh-CN" w:bidi="ar-SA"/>
                    </w:rPr>
                  </w:pPr>
                </w:p>
              </w:tc>
              <w:tc>
                <w:tcPr>
                  <w:tcW w:w="0" w:type="auto"/>
                  <w:noWrap w:val="0"/>
                  <w:vAlign w:val="center"/>
                </w:tcPr>
                <w:p w14:paraId="2E557EBF">
                  <w:pPr>
                    <w:widowControl w:val="0"/>
                    <w:jc w:val="both"/>
                    <w:rPr>
                      <w:rFonts w:ascii="Calibri" w:hAnsi="Calibri"/>
                      <w:kern w:val="2"/>
                      <w:sz w:val="21"/>
                      <w:lang w:val="en-US" w:eastAsia="zh-CN" w:bidi="ar-SA"/>
                    </w:rPr>
                  </w:pPr>
                </w:p>
              </w:tc>
              <w:tc>
                <w:tcPr>
                  <w:tcW w:w="0" w:type="auto"/>
                  <w:noWrap w:val="0"/>
                  <w:vAlign w:val="center"/>
                </w:tcPr>
                <w:p w14:paraId="50E8C644">
                  <w:pPr>
                    <w:widowControl w:val="0"/>
                    <w:jc w:val="both"/>
                    <w:rPr>
                      <w:rFonts w:ascii="Calibri" w:hAnsi="Calibri"/>
                      <w:kern w:val="2"/>
                      <w:sz w:val="21"/>
                      <w:lang w:val="en-US" w:eastAsia="zh-CN" w:bidi="ar-SA"/>
                    </w:rPr>
                  </w:pPr>
                </w:p>
              </w:tc>
              <w:tc>
                <w:tcPr>
                  <w:tcW w:w="0" w:type="auto"/>
                  <w:noWrap w:val="0"/>
                  <w:vAlign w:val="center"/>
                </w:tcPr>
                <w:p w14:paraId="2D5D7F1B">
                  <w:pPr>
                    <w:widowControl w:val="0"/>
                    <w:jc w:val="both"/>
                    <w:rPr>
                      <w:rFonts w:ascii="Calibri" w:hAnsi="Calibri"/>
                      <w:kern w:val="2"/>
                      <w:sz w:val="21"/>
                      <w:lang w:val="en-US" w:eastAsia="zh-CN" w:bidi="ar-SA"/>
                    </w:rPr>
                  </w:pPr>
                </w:p>
              </w:tc>
              <w:tc>
                <w:tcPr>
                  <w:tcW w:w="0" w:type="auto"/>
                  <w:noWrap w:val="0"/>
                  <w:vAlign w:val="center"/>
                </w:tcPr>
                <w:p w14:paraId="6451311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B0F290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1FFF50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硫酸盐的测定 铬酸钡分光光度法(试行)HJ/T 342─2007</w:t>
                  </w:r>
                </w:p>
              </w:tc>
              <w:tc>
                <w:tcPr>
                  <w:tcW w:w="83" w:type="pct"/>
                  <w:noWrap w:val="0"/>
                  <w:vAlign w:val="center"/>
                </w:tcPr>
                <w:p w14:paraId="491DC708">
                  <w:pPr>
                    <w:widowControl w:val="0"/>
                    <w:jc w:val="both"/>
                    <w:rPr>
                      <w:rFonts w:ascii="Calibri" w:hAnsi="Calibri"/>
                      <w:kern w:val="2"/>
                      <w:sz w:val="21"/>
                      <w:lang w:val="en-US" w:eastAsia="zh-CN" w:bidi="ar-SA"/>
                    </w:rPr>
                  </w:pPr>
                </w:p>
              </w:tc>
            </w:tr>
            <w:tr w14:paraId="3AB772B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FB50E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144</w:t>
                  </w:r>
                </w:p>
              </w:tc>
              <w:tc>
                <w:tcPr>
                  <w:tcW w:w="240" w:type="pct"/>
                  <w:noWrap w:val="0"/>
                  <w:vAlign w:val="center"/>
                </w:tcPr>
                <w:p w14:paraId="6B0460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60712C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27EBD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31BFB04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8DB75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硫酸盐（以SO42-计）</w:t>
                  </w:r>
                </w:p>
              </w:tc>
              <w:tc>
                <w:tcPr>
                  <w:tcW w:w="153" w:type="pct"/>
                  <w:noWrap w:val="0"/>
                  <w:vAlign w:val="center"/>
                </w:tcPr>
                <w:p w14:paraId="4D6E839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7B37C17">
                  <w:pPr>
                    <w:widowControl w:val="0"/>
                    <w:jc w:val="both"/>
                    <w:rPr>
                      <w:rFonts w:ascii="Calibri" w:hAnsi="Calibri"/>
                      <w:kern w:val="2"/>
                      <w:sz w:val="21"/>
                      <w:lang w:val="en-US" w:eastAsia="zh-CN" w:bidi="ar-SA"/>
                    </w:rPr>
                  </w:pPr>
                </w:p>
              </w:tc>
              <w:tc>
                <w:tcPr>
                  <w:tcW w:w="0" w:type="auto"/>
                  <w:noWrap w:val="0"/>
                  <w:vAlign w:val="center"/>
                </w:tcPr>
                <w:p w14:paraId="01CDC2D6">
                  <w:pPr>
                    <w:widowControl w:val="0"/>
                    <w:jc w:val="both"/>
                    <w:rPr>
                      <w:rFonts w:ascii="Calibri" w:hAnsi="Calibri"/>
                      <w:kern w:val="2"/>
                      <w:sz w:val="21"/>
                      <w:lang w:val="en-US" w:eastAsia="zh-CN" w:bidi="ar-SA"/>
                    </w:rPr>
                  </w:pPr>
                </w:p>
              </w:tc>
              <w:tc>
                <w:tcPr>
                  <w:tcW w:w="0" w:type="auto"/>
                  <w:noWrap w:val="0"/>
                  <w:vAlign w:val="center"/>
                </w:tcPr>
                <w:p w14:paraId="4033ED70">
                  <w:pPr>
                    <w:widowControl w:val="0"/>
                    <w:jc w:val="both"/>
                    <w:rPr>
                      <w:rFonts w:ascii="Calibri" w:hAnsi="Calibri"/>
                      <w:kern w:val="2"/>
                      <w:sz w:val="21"/>
                      <w:lang w:val="en-US" w:eastAsia="zh-CN" w:bidi="ar-SA"/>
                    </w:rPr>
                  </w:pPr>
                </w:p>
              </w:tc>
              <w:tc>
                <w:tcPr>
                  <w:tcW w:w="0" w:type="auto"/>
                  <w:noWrap w:val="0"/>
                  <w:vAlign w:val="center"/>
                </w:tcPr>
                <w:p w14:paraId="786350F3">
                  <w:pPr>
                    <w:widowControl w:val="0"/>
                    <w:jc w:val="both"/>
                    <w:rPr>
                      <w:rFonts w:ascii="Calibri" w:hAnsi="Calibri"/>
                      <w:kern w:val="2"/>
                      <w:sz w:val="21"/>
                      <w:lang w:val="en-US" w:eastAsia="zh-CN" w:bidi="ar-SA"/>
                    </w:rPr>
                  </w:pPr>
                </w:p>
              </w:tc>
              <w:tc>
                <w:tcPr>
                  <w:tcW w:w="0" w:type="auto"/>
                  <w:noWrap w:val="0"/>
                  <w:vAlign w:val="center"/>
                </w:tcPr>
                <w:p w14:paraId="3E77624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AB9DCB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E6314C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硫酸盐的测定 铬酸钡分光光度法(试行)HJ/T 342─2007</w:t>
                  </w:r>
                </w:p>
              </w:tc>
              <w:tc>
                <w:tcPr>
                  <w:tcW w:w="83" w:type="pct"/>
                  <w:noWrap w:val="0"/>
                  <w:vAlign w:val="center"/>
                </w:tcPr>
                <w:p w14:paraId="53D34321">
                  <w:pPr>
                    <w:widowControl w:val="0"/>
                    <w:jc w:val="both"/>
                    <w:rPr>
                      <w:rFonts w:ascii="Calibri" w:hAnsi="Calibri"/>
                      <w:kern w:val="2"/>
                      <w:sz w:val="21"/>
                      <w:lang w:val="en-US" w:eastAsia="zh-CN" w:bidi="ar-SA"/>
                    </w:rPr>
                  </w:pPr>
                </w:p>
              </w:tc>
            </w:tr>
            <w:tr w14:paraId="4F01096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BFC5CA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145</w:t>
                  </w:r>
                </w:p>
              </w:tc>
              <w:tc>
                <w:tcPr>
                  <w:tcW w:w="240" w:type="pct"/>
                  <w:noWrap w:val="0"/>
                  <w:vAlign w:val="center"/>
                </w:tcPr>
                <w:p w14:paraId="0D926C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562CD3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24ABF4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5EE16D5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4C1200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硫酸盐（以SO42-计）</w:t>
                  </w:r>
                </w:p>
              </w:tc>
              <w:tc>
                <w:tcPr>
                  <w:tcW w:w="153" w:type="pct"/>
                  <w:noWrap w:val="0"/>
                  <w:vAlign w:val="center"/>
                </w:tcPr>
                <w:p w14:paraId="71C026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BCF5929">
                  <w:pPr>
                    <w:widowControl w:val="0"/>
                    <w:jc w:val="both"/>
                    <w:rPr>
                      <w:rFonts w:ascii="Calibri" w:hAnsi="Calibri"/>
                      <w:kern w:val="2"/>
                      <w:sz w:val="21"/>
                      <w:lang w:val="en-US" w:eastAsia="zh-CN" w:bidi="ar-SA"/>
                    </w:rPr>
                  </w:pPr>
                </w:p>
              </w:tc>
              <w:tc>
                <w:tcPr>
                  <w:tcW w:w="0" w:type="auto"/>
                  <w:noWrap w:val="0"/>
                  <w:vAlign w:val="center"/>
                </w:tcPr>
                <w:p w14:paraId="1AA9F95E">
                  <w:pPr>
                    <w:widowControl w:val="0"/>
                    <w:jc w:val="both"/>
                    <w:rPr>
                      <w:rFonts w:ascii="Calibri" w:hAnsi="Calibri"/>
                      <w:kern w:val="2"/>
                      <w:sz w:val="21"/>
                      <w:lang w:val="en-US" w:eastAsia="zh-CN" w:bidi="ar-SA"/>
                    </w:rPr>
                  </w:pPr>
                </w:p>
              </w:tc>
              <w:tc>
                <w:tcPr>
                  <w:tcW w:w="0" w:type="auto"/>
                  <w:noWrap w:val="0"/>
                  <w:vAlign w:val="center"/>
                </w:tcPr>
                <w:p w14:paraId="716CB9D0">
                  <w:pPr>
                    <w:widowControl w:val="0"/>
                    <w:jc w:val="both"/>
                    <w:rPr>
                      <w:rFonts w:ascii="Calibri" w:hAnsi="Calibri"/>
                      <w:kern w:val="2"/>
                      <w:sz w:val="21"/>
                      <w:lang w:val="en-US" w:eastAsia="zh-CN" w:bidi="ar-SA"/>
                    </w:rPr>
                  </w:pPr>
                </w:p>
              </w:tc>
              <w:tc>
                <w:tcPr>
                  <w:tcW w:w="0" w:type="auto"/>
                  <w:noWrap w:val="0"/>
                  <w:vAlign w:val="center"/>
                </w:tcPr>
                <w:p w14:paraId="08148439">
                  <w:pPr>
                    <w:widowControl w:val="0"/>
                    <w:jc w:val="both"/>
                    <w:rPr>
                      <w:rFonts w:ascii="Calibri" w:hAnsi="Calibri"/>
                      <w:kern w:val="2"/>
                      <w:sz w:val="21"/>
                      <w:lang w:val="en-US" w:eastAsia="zh-CN" w:bidi="ar-SA"/>
                    </w:rPr>
                  </w:pPr>
                </w:p>
              </w:tc>
              <w:tc>
                <w:tcPr>
                  <w:tcW w:w="0" w:type="auto"/>
                  <w:noWrap w:val="0"/>
                  <w:vAlign w:val="center"/>
                </w:tcPr>
                <w:p w14:paraId="6D36ED2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B53784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2E72A6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硫酸盐的测定 铬酸钡分光光度法(试行)HJ/T 342─2007</w:t>
                  </w:r>
                </w:p>
              </w:tc>
              <w:tc>
                <w:tcPr>
                  <w:tcW w:w="83" w:type="pct"/>
                  <w:noWrap w:val="0"/>
                  <w:vAlign w:val="center"/>
                </w:tcPr>
                <w:p w14:paraId="6ADE2267">
                  <w:pPr>
                    <w:widowControl w:val="0"/>
                    <w:jc w:val="both"/>
                    <w:rPr>
                      <w:rFonts w:ascii="Calibri" w:hAnsi="Calibri"/>
                      <w:kern w:val="2"/>
                      <w:sz w:val="21"/>
                      <w:lang w:val="en-US" w:eastAsia="zh-CN" w:bidi="ar-SA"/>
                    </w:rPr>
                  </w:pPr>
                </w:p>
              </w:tc>
            </w:tr>
            <w:tr w14:paraId="429D8845">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473F25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146</w:t>
                  </w:r>
                </w:p>
              </w:tc>
              <w:tc>
                <w:tcPr>
                  <w:tcW w:w="240" w:type="pct"/>
                  <w:noWrap w:val="0"/>
                  <w:vAlign w:val="center"/>
                </w:tcPr>
                <w:p w14:paraId="23C6460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0CB18D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959239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03ED70F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492C26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总钴</w:t>
                  </w:r>
                </w:p>
              </w:tc>
              <w:tc>
                <w:tcPr>
                  <w:tcW w:w="153" w:type="pct"/>
                  <w:noWrap w:val="0"/>
                  <w:vAlign w:val="center"/>
                </w:tcPr>
                <w:p w14:paraId="087BEAC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8B5F4D0">
                  <w:pPr>
                    <w:widowControl w:val="0"/>
                    <w:jc w:val="both"/>
                    <w:rPr>
                      <w:rFonts w:ascii="Calibri" w:hAnsi="Calibri"/>
                      <w:kern w:val="2"/>
                      <w:sz w:val="21"/>
                      <w:lang w:val="en-US" w:eastAsia="zh-CN" w:bidi="ar-SA"/>
                    </w:rPr>
                  </w:pPr>
                </w:p>
              </w:tc>
              <w:tc>
                <w:tcPr>
                  <w:tcW w:w="0" w:type="auto"/>
                  <w:noWrap w:val="0"/>
                  <w:vAlign w:val="center"/>
                </w:tcPr>
                <w:p w14:paraId="2C16BB14">
                  <w:pPr>
                    <w:widowControl w:val="0"/>
                    <w:jc w:val="both"/>
                    <w:rPr>
                      <w:rFonts w:ascii="Calibri" w:hAnsi="Calibri"/>
                      <w:kern w:val="2"/>
                      <w:sz w:val="21"/>
                      <w:lang w:val="en-US" w:eastAsia="zh-CN" w:bidi="ar-SA"/>
                    </w:rPr>
                  </w:pPr>
                </w:p>
              </w:tc>
              <w:tc>
                <w:tcPr>
                  <w:tcW w:w="0" w:type="auto"/>
                  <w:noWrap w:val="0"/>
                  <w:vAlign w:val="center"/>
                </w:tcPr>
                <w:p w14:paraId="221A1E10">
                  <w:pPr>
                    <w:widowControl w:val="0"/>
                    <w:jc w:val="both"/>
                    <w:rPr>
                      <w:rFonts w:ascii="Calibri" w:hAnsi="Calibri"/>
                      <w:kern w:val="2"/>
                      <w:sz w:val="21"/>
                      <w:lang w:val="en-US" w:eastAsia="zh-CN" w:bidi="ar-SA"/>
                    </w:rPr>
                  </w:pPr>
                </w:p>
              </w:tc>
              <w:tc>
                <w:tcPr>
                  <w:tcW w:w="0" w:type="auto"/>
                  <w:noWrap w:val="0"/>
                  <w:vAlign w:val="center"/>
                </w:tcPr>
                <w:p w14:paraId="5EDC6EA1">
                  <w:pPr>
                    <w:widowControl w:val="0"/>
                    <w:jc w:val="both"/>
                    <w:rPr>
                      <w:rFonts w:ascii="Calibri" w:hAnsi="Calibri"/>
                      <w:kern w:val="2"/>
                      <w:sz w:val="21"/>
                      <w:lang w:val="en-US" w:eastAsia="zh-CN" w:bidi="ar-SA"/>
                    </w:rPr>
                  </w:pPr>
                </w:p>
              </w:tc>
              <w:tc>
                <w:tcPr>
                  <w:tcW w:w="0" w:type="auto"/>
                  <w:noWrap w:val="0"/>
                  <w:vAlign w:val="center"/>
                </w:tcPr>
                <w:p w14:paraId="079462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D7D056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12BAE2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HJ 776-2015《水质 32种元素的测定 电感耦合等离子体发射光谱法》</w:t>
                  </w:r>
                </w:p>
              </w:tc>
              <w:tc>
                <w:tcPr>
                  <w:tcW w:w="83" w:type="pct"/>
                  <w:noWrap w:val="0"/>
                  <w:vAlign w:val="center"/>
                </w:tcPr>
                <w:p w14:paraId="11ED8E06">
                  <w:pPr>
                    <w:widowControl w:val="0"/>
                    <w:jc w:val="both"/>
                    <w:rPr>
                      <w:rFonts w:ascii="Calibri" w:hAnsi="Calibri"/>
                      <w:kern w:val="2"/>
                      <w:sz w:val="21"/>
                      <w:lang w:val="en-US" w:eastAsia="zh-CN" w:bidi="ar-SA"/>
                    </w:rPr>
                  </w:pPr>
                </w:p>
              </w:tc>
            </w:tr>
            <w:tr w14:paraId="50565F0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71BFA7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147</w:t>
                  </w:r>
                </w:p>
              </w:tc>
              <w:tc>
                <w:tcPr>
                  <w:tcW w:w="240" w:type="pct"/>
                  <w:noWrap w:val="0"/>
                  <w:vAlign w:val="center"/>
                </w:tcPr>
                <w:p w14:paraId="4C4EBA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7541C6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95DB77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118A115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A8AB5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总钴</w:t>
                  </w:r>
                </w:p>
              </w:tc>
              <w:tc>
                <w:tcPr>
                  <w:tcW w:w="153" w:type="pct"/>
                  <w:noWrap w:val="0"/>
                  <w:vAlign w:val="center"/>
                </w:tcPr>
                <w:p w14:paraId="54159D4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611F3C8">
                  <w:pPr>
                    <w:widowControl w:val="0"/>
                    <w:jc w:val="both"/>
                    <w:rPr>
                      <w:rFonts w:ascii="Calibri" w:hAnsi="Calibri"/>
                      <w:kern w:val="2"/>
                      <w:sz w:val="21"/>
                      <w:lang w:val="en-US" w:eastAsia="zh-CN" w:bidi="ar-SA"/>
                    </w:rPr>
                  </w:pPr>
                </w:p>
              </w:tc>
              <w:tc>
                <w:tcPr>
                  <w:tcW w:w="0" w:type="auto"/>
                  <w:noWrap w:val="0"/>
                  <w:vAlign w:val="center"/>
                </w:tcPr>
                <w:p w14:paraId="02F1AFBA">
                  <w:pPr>
                    <w:widowControl w:val="0"/>
                    <w:jc w:val="both"/>
                    <w:rPr>
                      <w:rFonts w:ascii="Calibri" w:hAnsi="Calibri"/>
                      <w:kern w:val="2"/>
                      <w:sz w:val="21"/>
                      <w:lang w:val="en-US" w:eastAsia="zh-CN" w:bidi="ar-SA"/>
                    </w:rPr>
                  </w:pPr>
                </w:p>
              </w:tc>
              <w:tc>
                <w:tcPr>
                  <w:tcW w:w="0" w:type="auto"/>
                  <w:noWrap w:val="0"/>
                  <w:vAlign w:val="center"/>
                </w:tcPr>
                <w:p w14:paraId="61C324E3">
                  <w:pPr>
                    <w:widowControl w:val="0"/>
                    <w:jc w:val="both"/>
                    <w:rPr>
                      <w:rFonts w:ascii="Calibri" w:hAnsi="Calibri"/>
                      <w:kern w:val="2"/>
                      <w:sz w:val="21"/>
                      <w:lang w:val="en-US" w:eastAsia="zh-CN" w:bidi="ar-SA"/>
                    </w:rPr>
                  </w:pPr>
                </w:p>
              </w:tc>
              <w:tc>
                <w:tcPr>
                  <w:tcW w:w="0" w:type="auto"/>
                  <w:noWrap w:val="0"/>
                  <w:vAlign w:val="center"/>
                </w:tcPr>
                <w:p w14:paraId="4B6F28F9">
                  <w:pPr>
                    <w:widowControl w:val="0"/>
                    <w:jc w:val="both"/>
                    <w:rPr>
                      <w:rFonts w:ascii="Calibri" w:hAnsi="Calibri"/>
                      <w:kern w:val="2"/>
                      <w:sz w:val="21"/>
                      <w:lang w:val="en-US" w:eastAsia="zh-CN" w:bidi="ar-SA"/>
                    </w:rPr>
                  </w:pPr>
                </w:p>
              </w:tc>
              <w:tc>
                <w:tcPr>
                  <w:tcW w:w="0" w:type="auto"/>
                  <w:noWrap w:val="0"/>
                  <w:vAlign w:val="center"/>
                </w:tcPr>
                <w:p w14:paraId="20456F3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678BE7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15CD1C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HJ 776-2015《水质 32种元素的测定 电感耦合等离子体发射光谱法》</w:t>
                  </w:r>
                </w:p>
              </w:tc>
              <w:tc>
                <w:tcPr>
                  <w:tcW w:w="83" w:type="pct"/>
                  <w:noWrap w:val="0"/>
                  <w:vAlign w:val="center"/>
                </w:tcPr>
                <w:p w14:paraId="08890649">
                  <w:pPr>
                    <w:widowControl w:val="0"/>
                    <w:jc w:val="both"/>
                    <w:rPr>
                      <w:rFonts w:ascii="Calibri" w:hAnsi="Calibri"/>
                      <w:kern w:val="2"/>
                      <w:sz w:val="21"/>
                      <w:lang w:val="en-US" w:eastAsia="zh-CN" w:bidi="ar-SA"/>
                    </w:rPr>
                  </w:pPr>
                </w:p>
              </w:tc>
            </w:tr>
            <w:tr w14:paraId="20EA10E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42FF00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148</w:t>
                  </w:r>
                </w:p>
              </w:tc>
              <w:tc>
                <w:tcPr>
                  <w:tcW w:w="240" w:type="pct"/>
                  <w:noWrap w:val="0"/>
                  <w:vAlign w:val="center"/>
                </w:tcPr>
                <w:p w14:paraId="235E48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60686F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90D7A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45C144B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FE784E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总钴</w:t>
                  </w:r>
                </w:p>
              </w:tc>
              <w:tc>
                <w:tcPr>
                  <w:tcW w:w="153" w:type="pct"/>
                  <w:noWrap w:val="0"/>
                  <w:vAlign w:val="center"/>
                </w:tcPr>
                <w:p w14:paraId="5AF8DE7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38B0EC3">
                  <w:pPr>
                    <w:widowControl w:val="0"/>
                    <w:jc w:val="both"/>
                    <w:rPr>
                      <w:rFonts w:ascii="Calibri" w:hAnsi="Calibri"/>
                      <w:kern w:val="2"/>
                      <w:sz w:val="21"/>
                      <w:lang w:val="en-US" w:eastAsia="zh-CN" w:bidi="ar-SA"/>
                    </w:rPr>
                  </w:pPr>
                </w:p>
              </w:tc>
              <w:tc>
                <w:tcPr>
                  <w:tcW w:w="0" w:type="auto"/>
                  <w:noWrap w:val="0"/>
                  <w:vAlign w:val="center"/>
                </w:tcPr>
                <w:p w14:paraId="74DFF941">
                  <w:pPr>
                    <w:widowControl w:val="0"/>
                    <w:jc w:val="both"/>
                    <w:rPr>
                      <w:rFonts w:ascii="Calibri" w:hAnsi="Calibri"/>
                      <w:kern w:val="2"/>
                      <w:sz w:val="21"/>
                      <w:lang w:val="en-US" w:eastAsia="zh-CN" w:bidi="ar-SA"/>
                    </w:rPr>
                  </w:pPr>
                </w:p>
              </w:tc>
              <w:tc>
                <w:tcPr>
                  <w:tcW w:w="0" w:type="auto"/>
                  <w:noWrap w:val="0"/>
                  <w:vAlign w:val="center"/>
                </w:tcPr>
                <w:p w14:paraId="2F0B0A24">
                  <w:pPr>
                    <w:widowControl w:val="0"/>
                    <w:jc w:val="both"/>
                    <w:rPr>
                      <w:rFonts w:ascii="Calibri" w:hAnsi="Calibri"/>
                      <w:kern w:val="2"/>
                      <w:sz w:val="21"/>
                      <w:lang w:val="en-US" w:eastAsia="zh-CN" w:bidi="ar-SA"/>
                    </w:rPr>
                  </w:pPr>
                </w:p>
              </w:tc>
              <w:tc>
                <w:tcPr>
                  <w:tcW w:w="0" w:type="auto"/>
                  <w:noWrap w:val="0"/>
                  <w:vAlign w:val="center"/>
                </w:tcPr>
                <w:p w14:paraId="5BB3163C">
                  <w:pPr>
                    <w:widowControl w:val="0"/>
                    <w:jc w:val="both"/>
                    <w:rPr>
                      <w:rFonts w:ascii="Calibri" w:hAnsi="Calibri"/>
                      <w:kern w:val="2"/>
                      <w:sz w:val="21"/>
                      <w:lang w:val="en-US" w:eastAsia="zh-CN" w:bidi="ar-SA"/>
                    </w:rPr>
                  </w:pPr>
                </w:p>
              </w:tc>
              <w:tc>
                <w:tcPr>
                  <w:tcW w:w="0" w:type="auto"/>
                  <w:noWrap w:val="0"/>
                  <w:vAlign w:val="center"/>
                </w:tcPr>
                <w:p w14:paraId="11C9BE1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40882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5CEE9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HJ 776-2015《水质 32种元素的测定 电感耦合等离子体发射光谱法》</w:t>
                  </w:r>
                </w:p>
              </w:tc>
              <w:tc>
                <w:tcPr>
                  <w:tcW w:w="83" w:type="pct"/>
                  <w:noWrap w:val="0"/>
                  <w:vAlign w:val="center"/>
                </w:tcPr>
                <w:p w14:paraId="2EA438E4">
                  <w:pPr>
                    <w:widowControl w:val="0"/>
                    <w:jc w:val="both"/>
                    <w:rPr>
                      <w:rFonts w:ascii="Calibri" w:hAnsi="Calibri"/>
                      <w:kern w:val="2"/>
                      <w:sz w:val="21"/>
                      <w:lang w:val="en-US" w:eastAsia="zh-CN" w:bidi="ar-SA"/>
                    </w:rPr>
                  </w:pPr>
                </w:p>
              </w:tc>
            </w:tr>
            <w:tr w14:paraId="3357C872">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9F0099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149</w:t>
                  </w:r>
                </w:p>
              </w:tc>
              <w:tc>
                <w:tcPr>
                  <w:tcW w:w="240" w:type="pct"/>
                  <w:noWrap w:val="0"/>
                  <w:vAlign w:val="center"/>
                </w:tcPr>
                <w:p w14:paraId="3CA14AF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6F0FEE0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2DD9BC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1FD39C0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ED3515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总铝</w:t>
                  </w:r>
                </w:p>
              </w:tc>
              <w:tc>
                <w:tcPr>
                  <w:tcW w:w="153" w:type="pct"/>
                  <w:noWrap w:val="0"/>
                  <w:vAlign w:val="center"/>
                </w:tcPr>
                <w:p w14:paraId="0B631A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69BF104">
                  <w:pPr>
                    <w:widowControl w:val="0"/>
                    <w:jc w:val="both"/>
                    <w:rPr>
                      <w:rFonts w:ascii="Calibri" w:hAnsi="Calibri"/>
                      <w:kern w:val="2"/>
                      <w:sz w:val="21"/>
                      <w:lang w:val="en-US" w:eastAsia="zh-CN" w:bidi="ar-SA"/>
                    </w:rPr>
                  </w:pPr>
                </w:p>
              </w:tc>
              <w:tc>
                <w:tcPr>
                  <w:tcW w:w="0" w:type="auto"/>
                  <w:noWrap w:val="0"/>
                  <w:vAlign w:val="center"/>
                </w:tcPr>
                <w:p w14:paraId="7C53952D">
                  <w:pPr>
                    <w:widowControl w:val="0"/>
                    <w:jc w:val="both"/>
                    <w:rPr>
                      <w:rFonts w:ascii="Calibri" w:hAnsi="Calibri"/>
                      <w:kern w:val="2"/>
                      <w:sz w:val="21"/>
                      <w:lang w:val="en-US" w:eastAsia="zh-CN" w:bidi="ar-SA"/>
                    </w:rPr>
                  </w:pPr>
                </w:p>
              </w:tc>
              <w:tc>
                <w:tcPr>
                  <w:tcW w:w="0" w:type="auto"/>
                  <w:noWrap w:val="0"/>
                  <w:vAlign w:val="center"/>
                </w:tcPr>
                <w:p w14:paraId="293EB712">
                  <w:pPr>
                    <w:widowControl w:val="0"/>
                    <w:jc w:val="both"/>
                    <w:rPr>
                      <w:rFonts w:ascii="Calibri" w:hAnsi="Calibri"/>
                      <w:kern w:val="2"/>
                      <w:sz w:val="21"/>
                      <w:lang w:val="en-US" w:eastAsia="zh-CN" w:bidi="ar-SA"/>
                    </w:rPr>
                  </w:pPr>
                </w:p>
              </w:tc>
              <w:tc>
                <w:tcPr>
                  <w:tcW w:w="0" w:type="auto"/>
                  <w:noWrap w:val="0"/>
                  <w:vAlign w:val="center"/>
                </w:tcPr>
                <w:p w14:paraId="666A2648">
                  <w:pPr>
                    <w:widowControl w:val="0"/>
                    <w:jc w:val="both"/>
                    <w:rPr>
                      <w:rFonts w:ascii="Calibri" w:hAnsi="Calibri"/>
                      <w:kern w:val="2"/>
                      <w:sz w:val="21"/>
                      <w:lang w:val="en-US" w:eastAsia="zh-CN" w:bidi="ar-SA"/>
                    </w:rPr>
                  </w:pPr>
                </w:p>
              </w:tc>
              <w:tc>
                <w:tcPr>
                  <w:tcW w:w="0" w:type="auto"/>
                  <w:noWrap w:val="0"/>
                  <w:vAlign w:val="center"/>
                </w:tcPr>
                <w:p w14:paraId="20FEC6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76431F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4B5E26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 检验方法 金属指标》（1.2 铝 水杨基荧光酮-氯代十六烷基吡啶分光 光度法）（GB/T 5750.6-2022）</w:t>
                  </w:r>
                </w:p>
              </w:tc>
              <w:tc>
                <w:tcPr>
                  <w:tcW w:w="83" w:type="pct"/>
                  <w:noWrap w:val="0"/>
                  <w:vAlign w:val="center"/>
                </w:tcPr>
                <w:p w14:paraId="0EE038DB">
                  <w:pPr>
                    <w:widowControl w:val="0"/>
                    <w:jc w:val="both"/>
                    <w:rPr>
                      <w:rFonts w:ascii="Calibri" w:hAnsi="Calibri"/>
                      <w:kern w:val="2"/>
                      <w:sz w:val="21"/>
                      <w:lang w:val="en-US" w:eastAsia="zh-CN" w:bidi="ar-SA"/>
                    </w:rPr>
                  </w:pPr>
                </w:p>
              </w:tc>
            </w:tr>
            <w:tr w14:paraId="217A91C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57EBCD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150</w:t>
                  </w:r>
                </w:p>
              </w:tc>
              <w:tc>
                <w:tcPr>
                  <w:tcW w:w="240" w:type="pct"/>
                  <w:noWrap w:val="0"/>
                  <w:vAlign w:val="center"/>
                </w:tcPr>
                <w:p w14:paraId="392314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A96080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B1A8A5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1BF7539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1C2D66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总铝</w:t>
                  </w:r>
                </w:p>
              </w:tc>
              <w:tc>
                <w:tcPr>
                  <w:tcW w:w="153" w:type="pct"/>
                  <w:noWrap w:val="0"/>
                  <w:vAlign w:val="center"/>
                </w:tcPr>
                <w:p w14:paraId="44CC34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CEBE9E8">
                  <w:pPr>
                    <w:widowControl w:val="0"/>
                    <w:jc w:val="both"/>
                    <w:rPr>
                      <w:rFonts w:ascii="Calibri" w:hAnsi="Calibri"/>
                      <w:kern w:val="2"/>
                      <w:sz w:val="21"/>
                      <w:lang w:val="en-US" w:eastAsia="zh-CN" w:bidi="ar-SA"/>
                    </w:rPr>
                  </w:pPr>
                </w:p>
              </w:tc>
              <w:tc>
                <w:tcPr>
                  <w:tcW w:w="0" w:type="auto"/>
                  <w:noWrap w:val="0"/>
                  <w:vAlign w:val="center"/>
                </w:tcPr>
                <w:p w14:paraId="11A1AE40">
                  <w:pPr>
                    <w:widowControl w:val="0"/>
                    <w:jc w:val="both"/>
                    <w:rPr>
                      <w:rFonts w:ascii="Calibri" w:hAnsi="Calibri"/>
                      <w:kern w:val="2"/>
                      <w:sz w:val="21"/>
                      <w:lang w:val="en-US" w:eastAsia="zh-CN" w:bidi="ar-SA"/>
                    </w:rPr>
                  </w:pPr>
                </w:p>
              </w:tc>
              <w:tc>
                <w:tcPr>
                  <w:tcW w:w="0" w:type="auto"/>
                  <w:noWrap w:val="0"/>
                  <w:vAlign w:val="center"/>
                </w:tcPr>
                <w:p w14:paraId="4C498493">
                  <w:pPr>
                    <w:widowControl w:val="0"/>
                    <w:jc w:val="both"/>
                    <w:rPr>
                      <w:rFonts w:ascii="Calibri" w:hAnsi="Calibri"/>
                      <w:kern w:val="2"/>
                      <w:sz w:val="21"/>
                      <w:lang w:val="en-US" w:eastAsia="zh-CN" w:bidi="ar-SA"/>
                    </w:rPr>
                  </w:pPr>
                </w:p>
              </w:tc>
              <w:tc>
                <w:tcPr>
                  <w:tcW w:w="0" w:type="auto"/>
                  <w:noWrap w:val="0"/>
                  <w:vAlign w:val="center"/>
                </w:tcPr>
                <w:p w14:paraId="11D1DE24">
                  <w:pPr>
                    <w:widowControl w:val="0"/>
                    <w:jc w:val="both"/>
                    <w:rPr>
                      <w:rFonts w:ascii="Calibri" w:hAnsi="Calibri"/>
                      <w:kern w:val="2"/>
                      <w:sz w:val="21"/>
                      <w:lang w:val="en-US" w:eastAsia="zh-CN" w:bidi="ar-SA"/>
                    </w:rPr>
                  </w:pPr>
                </w:p>
              </w:tc>
              <w:tc>
                <w:tcPr>
                  <w:tcW w:w="0" w:type="auto"/>
                  <w:noWrap w:val="0"/>
                  <w:vAlign w:val="center"/>
                </w:tcPr>
                <w:p w14:paraId="6D52B6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11F4DBD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9C5A9F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 检验方法 金属指标》（1.2 铝 水杨基荧光酮-氯代十六烷基吡啶分光 光度法）（GB/T 5750.6-2022）</w:t>
                  </w:r>
                </w:p>
              </w:tc>
              <w:tc>
                <w:tcPr>
                  <w:tcW w:w="83" w:type="pct"/>
                  <w:noWrap w:val="0"/>
                  <w:vAlign w:val="center"/>
                </w:tcPr>
                <w:p w14:paraId="6178F09C">
                  <w:pPr>
                    <w:widowControl w:val="0"/>
                    <w:jc w:val="both"/>
                    <w:rPr>
                      <w:rFonts w:ascii="Calibri" w:hAnsi="Calibri"/>
                      <w:kern w:val="2"/>
                      <w:sz w:val="21"/>
                      <w:lang w:val="en-US" w:eastAsia="zh-CN" w:bidi="ar-SA"/>
                    </w:rPr>
                  </w:pPr>
                </w:p>
              </w:tc>
            </w:tr>
            <w:tr w14:paraId="089D23BD">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D2C2B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151</w:t>
                  </w:r>
                </w:p>
              </w:tc>
              <w:tc>
                <w:tcPr>
                  <w:tcW w:w="240" w:type="pct"/>
                  <w:noWrap w:val="0"/>
                  <w:vAlign w:val="center"/>
                </w:tcPr>
                <w:p w14:paraId="4673547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6F476D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3000AE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5BBC90B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2504AC2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总铝</w:t>
                  </w:r>
                </w:p>
              </w:tc>
              <w:tc>
                <w:tcPr>
                  <w:tcW w:w="153" w:type="pct"/>
                  <w:noWrap w:val="0"/>
                  <w:vAlign w:val="center"/>
                </w:tcPr>
                <w:p w14:paraId="6F5A55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60C571B">
                  <w:pPr>
                    <w:widowControl w:val="0"/>
                    <w:jc w:val="both"/>
                    <w:rPr>
                      <w:rFonts w:ascii="Calibri" w:hAnsi="Calibri"/>
                      <w:kern w:val="2"/>
                      <w:sz w:val="21"/>
                      <w:lang w:val="en-US" w:eastAsia="zh-CN" w:bidi="ar-SA"/>
                    </w:rPr>
                  </w:pPr>
                </w:p>
              </w:tc>
              <w:tc>
                <w:tcPr>
                  <w:tcW w:w="0" w:type="auto"/>
                  <w:noWrap w:val="0"/>
                  <w:vAlign w:val="center"/>
                </w:tcPr>
                <w:p w14:paraId="1C11CED3">
                  <w:pPr>
                    <w:widowControl w:val="0"/>
                    <w:jc w:val="both"/>
                    <w:rPr>
                      <w:rFonts w:ascii="Calibri" w:hAnsi="Calibri"/>
                      <w:kern w:val="2"/>
                      <w:sz w:val="21"/>
                      <w:lang w:val="en-US" w:eastAsia="zh-CN" w:bidi="ar-SA"/>
                    </w:rPr>
                  </w:pPr>
                </w:p>
              </w:tc>
              <w:tc>
                <w:tcPr>
                  <w:tcW w:w="0" w:type="auto"/>
                  <w:noWrap w:val="0"/>
                  <w:vAlign w:val="center"/>
                </w:tcPr>
                <w:p w14:paraId="76F3CA08">
                  <w:pPr>
                    <w:widowControl w:val="0"/>
                    <w:jc w:val="both"/>
                    <w:rPr>
                      <w:rFonts w:ascii="Calibri" w:hAnsi="Calibri"/>
                      <w:kern w:val="2"/>
                      <w:sz w:val="21"/>
                      <w:lang w:val="en-US" w:eastAsia="zh-CN" w:bidi="ar-SA"/>
                    </w:rPr>
                  </w:pPr>
                </w:p>
              </w:tc>
              <w:tc>
                <w:tcPr>
                  <w:tcW w:w="0" w:type="auto"/>
                  <w:noWrap w:val="0"/>
                  <w:vAlign w:val="center"/>
                </w:tcPr>
                <w:p w14:paraId="2D91F0B3">
                  <w:pPr>
                    <w:widowControl w:val="0"/>
                    <w:jc w:val="both"/>
                    <w:rPr>
                      <w:rFonts w:ascii="Calibri" w:hAnsi="Calibri"/>
                      <w:kern w:val="2"/>
                      <w:sz w:val="21"/>
                      <w:lang w:val="en-US" w:eastAsia="zh-CN" w:bidi="ar-SA"/>
                    </w:rPr>
                  </w:pPr>
                </w:p>
              </w:tc>
              <w:tc>
                <w:tcPr>
                  <w:tcW w:w="0" w:type="auto"/>
                  <w:noWrap w:val="0"/>
                  <w:vAlign w:val="center"/>
                </w:tcPr>
                <w:p w14:paraId="06034C6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07C26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2CA7127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 检验方法 金属指标》（1.2 铝 水杨基荧光酮-氯代十六烷基吡啶分光 光度法）（GB/T 5750.6-2022）</w:t>
                  </w:r>
                </w:p>
              </w:tc>
              <w:tc>
                <w:tcPr>
                  <w:tcW w:w="83" w:type="pct"/>
                  <w:noWrap w:val="0"/>
                  <w:vAlign w:val="center"/>
                </w:tcPr>
                <w:p w14:paraId="5B355485">
                  <w:pPr>
                    <w:widowControl w:val="0"/>
                    <w:jc w:val="both"/>
                    <w:rPr>
                      <w:rFonts w:ascii="Calibri" w:hAnsi="Calibri"/>
                      <w:kern w:val="2"/>
                      <w:sz w:val="21"/>
                      <w:lang w:val="en-US" w:eastAsia="zh-CN" w:bidi="ar-SA"/>
                    </w:rPr>
                  </w:pPr>
                </w:p>
              </w:tc>
            </w:tr>
            <w:tr w14:paraId="6743D59B">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1E138C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152</w:t>
                  </w:r>
                </w:p>
              </w:tc>
              <w:tc>
                <w:tcPr>
                  <w:tcW w:w="240" w:type="pct"/>
                  <w:noWrap w:val="0"/>
                  <w:vAlign w:val="center"/>
                </w:tcPr>
                <w:p w14:paraId="10DAEA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41CB4E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2427B0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439F696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4AE9C16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总锑</w:t>
                  </w:r>
                </w:p>
              </w:tc>
              <w:tc>
                <w:tcPr>
                  <w:tcW w:w="153" w:type="pct"/>
                  <w:noWrap w:val="0"/>
                  <w:vAlign w:val="center"/>
                </w:tcPr>
                <w:p w14:paraId="2D9BF1F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9E51A75">
                  <w:pPr>
                    <w:widowControl w:val="0"/>
                    <w:jc w:val="both"/>
                    <w:rPr>
                      <w:rFonts w:ascii="Calibri" w:hAnsi="Calibri"/>
                      <w:kern w:val="2"/>
                      <w:sz w:val="21"/>
                      <w:lang w:val="en-US" w:eastAsia="zh-CN" w:bidi="ar-SA"/>
                    </w:rPr>
                  </w:pPr>
                </w:p>
              </w:tc>
              <w:tc>
                <w:tcPr>
                  <w:tcW w:w="0" w:type="auto"/>
                  <w:noWrap w:val="0"/>
                  <w:vAlign w:val="center"/>
                </w:tcPr>
                <w:p w14:paraId="56A14C1D">
                  <w:pPr>
                    <w:widowControl w:val="0"/>
                    <w:jc w:val="both"/>
                    <w:rPr>
                      <w:rFonts w:ascii="Calibri" w:hAnsi="Calibri"/>
                      <w:kern w:val="2"/>
                      <w:sz w:val="21"/>
                      <w:lang w:val="en-US" w:eastAsia="zh-CN" w:bidi="ar-SA"/>
                    </w:rPr>
                  </w:pPr>
                </w:p>
              </w:tc>
              <w:tc>
                <w:tcPr>
                  <w:tcW w:w="0" w:type="auto"/>
                  <w:noWrap w:val="0"/>
                  <w:vAlign w:val="center"/>
                </w:tcPr>
                <w:p w14:paraId="65846430">
                  <w:pPr>
                    <w:widowControl w:val="0"/>
                    <w:jc w:val="both"/>
                    <w:rPr>
                      <w:rFonts w:ascii="Calibri" w:hAnsi="Calibri"/>
                      <w:kern w:val="2"/>
                      <w:sz w:val="21"/>
                      <w:lang w:val="en-US" w:eastAsia="zh-CN" w:bidi="ar-SA"/>
                    </w:rPr>
                  </w:pPr>
                </w:p>
              </w:tc>
              <w:tc>
                <w:tcPr>
                  <w:tcW w:w="0" w:type="auto"/>
                  <w:noWrap w:val="0"/>
                  <w:vAlign w:val="center"/>
                </w:tcPr>
                <w:p w14:paraId="7FA0DE4F">
                  <w:pPr>
                    <w:widowControl w:val="0"/>
                    <w:jc w:val="both"/>
                    <w:rPr>
                      <w:rFonts w:ascii="Calibri" w:hAnsi="Calibri"/>
                      <w:kern w:val="2"/>
                      <w:sz w:val="21"/>
                      <w:lang w:val="en-US" w:eastAsia="zh-CN" w:bidi="ar-SA"/>
                    </w:rPr>
                  </w:pPr>
                </w:p>
              </w:tc>
              <w:tc>
                <w:tcPr>
                  <w:tcW w:w="0" w:type="auto"/>
                  <w:noWrap w:val="0"/>
                  <w:vAlign w:val="center"/>
                </w:tcPr>
                <w:p w14:paraId="287EE24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46EF92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D6BAA8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汞、砷、硒、铋和锑的测定 原子荧光法》（HJ 694-2014）</w:t>
                  </w:r>
                </w:p>
              </w:tc>
              <w:tc>
                <w:tcPr>
                  <w:tcW w:w="83" w:type="pct"/>
                  <w:noWrap w:val="0"/>
                  <w:vAlign w:val="center"/>
                </w:tcPr>
                <w:p w14:paraId="31D206C3">
                  <w:pPr>
                    <w:widowControl w:val="0"/>
                    <w:jc w:val="both"/>
                    <w:rPr>
                      <w:rFonts w:ascii="Calibri" w:hAnsi="Calibri"/>
                      <w:kern w:val="2"/>
                      <w:sz w:val="21"/>
                      <w:lang w:val="en-US" w:eastAsia="zh-CN" w:bidi="ar-SA"/>
                    </w:rPr>
                  </w:pPr>
                </w:p>
              </w:tc>
            </w:tr>
            <w:tr w14:paraId="7305BCAE">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6331B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153</w:t>
                  </w:r>
                </w:p>
              </w:tc>
              <w:tc>
                <w:tcPr>
                  <w:tcW w:w="240" w:type="pct"/>
                  <w:noWrap w:val="0"/>
                  <w:vAlign w:val="center"/>
                </w:tcPr>
                <w:p w14:paraId="40E638F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4320992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F89A41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2D214A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0DCB61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总锑</w:t>
                  </w:r>
                </w:p>
              </w:tc>
              <w:tc>
                <w:tcPr>
                  <w:tcW w:w="153" w:type="pct"/>
                  <w:noWrap w:val="0"/>
                  <w:vAlign w:val="center"/>
                </w:tcPr>
                <w:p w14:paraId="413164A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0BA6099A">
                  <w:pPr>
                    <w:widowControl w:val="0"/>
                    <w:jc w:val="both"/>
                    <w:rPr>
                      <w:rFonts w:ascii="Calibri" w:hAnsi="Calibri"/>
                      <w:kern w:val="2"/>
                      <w:sz w:val="21"/>
                      <w:lang w:val="en-US" w:eastAsia="zh-CN" w:bidi="ar-SA"/>
                    </w:rPr>
                  </w:pPr>
                </w:p>
              </w:tc>
              <w:tc>
                <w:tcPr>
                  <w:tcW w:w="0" w:type="auto"/>
                  <w:noWrap w:val="0"/>
                  <w:vAlign w:val="center"/>
                </w:tcPr>
                <w:p w14:paraId="6564A66E">
                  <w:pPr>
                    <w:widowControl w:val="0"/>
                    <w:jc w:val="both"/>
                    <w:rPr>
                      <w:rFonts w:ascii="Calibri" w:hAnsi="Calibri"/>
                      <w:kern w:val="2"/>
                      <w:sz w:val="21"/>
                      <w:lang w:val="en-US" w:eastAsia="zh-CN" w:bidi="ar-SA"/>
                    </w:rPr>
                  </w:pPr>
                </w:p>
              </w:tc>
              <w:tc>
                <w:tcPr>
                  <w:tcW w:w="0" w:type="auto"/>
                  <w:noWrap w:val="0"/>
                  <w:vAlign w:val="center"/>
                </w:tcPr>
                <w:p w14:paraId="179243C1">
                  <w:pPr>
                    <w:widowControl w:val="0"/>
                    <w:jc w:val="both"/>
                    <w:rPr>
                      <w:rFonts w:ascii="Calibri" w:hAnsi="Calibri"/>
                      <w:kern w:val="2"/>
                      <w:sz w:val="21"/>
                      <w:lang w:val="en-US" w:eastAsia="zh-CN" w:bidi="ar-SA"/>
                    </w:rPr>
                  </w:pPr>
                </w:p>
              </w:tc>
              <w:tc>
                <w:tcPr>
                  <w:tcW w:w="0" w:type="auto"/>
                  <w:noWrap w:val="0"/>
                  <w:vAlign w:val="center"/>
                </w:tcPr>
                <w:p w14:paraId="36820D44">
                  <w:pPr>
                    <w:widowControl w:val="0"/>
                    <w:jc w:val="both"/>
                    <w:rPr>
                      <w:rFonts w:ascii="Calibri" w:hAnsi="Calibri"/>
                      <w:kern w:val="2"/>
                      <w:sz w:val="21"/>
                      <w:lang w:val="en-US" w:eastAsia="zh-CN" w:bidi="ar-SA"/>
                    </w:rPr>
                  </w:pPr>
                </w:p>
              </w:tc>
              <w:tc>
                <w:tcPr>
                  <w:tcW w:w="0" w:type="auto"/>
                  <w:noWrap w:val="0"/>
                  <w:vAlign w:val="center"/>
                </w:tcPr>
                <w:p w14:paraId="3D039A5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01B0A24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4D7602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铍的测定 石墨炉原 子吸收分光光度法》（HJ/T 59-2000）</w:t>
                  </w:r>
                </w:p>
              </w:tc>
              <w:tc>
                <w:tcPr>
                  <w:tcW w:w="83" w:type="pct"/>
                  <w:noWrap w:val="0"/>
                  <w:vAlign w:val="center"/>
                </w:tcPr>
                <w:p w14:paraId="3B16E9A2">
                  <w:pPr>
                    <w:widowControl w:val="0"/>
                    <w:jc w:val="both"/>
                    <w:rPr>
                      <w:rFonts w:ascii="Calibri" w:hAnsi="Calibri"/>
                      <w:kern w:val="2"/>
                      <w:sz w:val="21"/>
                      <w:lang w:val="en-US" w:eastAsia="zh-CN" w:bidi="ar-SA"/>
                    </w:rPr>
                  </w:pPr>
                </w:p>
              </w:tc>
            </w:tr>
            <w:tr w14:paraId="48708620">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6E5265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154</w:t>
                  </w:r>
                </w:p>
              </w:tc>
              <w:tc>
                <w:tcPr>
                  <w:tcW w:w="240" w:type="pct"/>
                  <w:noWrap w:val="0"/>
                  <w:vAlign w:val="center"/>
                </w:tcPr>
                <w:p w14:paraId="352E787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6F2CFE7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FC987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F0363C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DDADCE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总锑</w:t>
                  </w:r>
                </w:p>
              </w:tc>
              <w:tc>
                <w:tcPr>
                  <w:tcW w:w="153" w:type="pct"/>
                  <w:noWrap w:val="0"/>
                  <w:vAlign w:val="center"/>
                </w:tcPr>
                <w:p w14:paraId="2F19AA6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71E74E1">
                  <w:pPr>
                    <w:widowControl w:val="0"/>
                    <w:jc w:val="both"/>
                    <w:rPr>
                      <w:rFonts w:ascii="Calibri" w:hAnsi="Calibri"/>
                      <w:kern w:val="2"/>
                      <w:sz w:val="21"/>
                      <w:lang w:val="en-US" w:eastAsia="zh-CN" w:bidi="ar-SA"/>
                    </w:rPr>
                  </w:pPr>
                </w:p>
              </w:tc>
              <w:tc>
                <w:tcPr>
                  <w:tcW w:w="0" w:type="auto"/>
                  <w:noWrap w:val="0"/>
                  <w:vAlign w:val="center"/>
                </w:tcPr>
                <w:p w14:paraId="0DC98652">
                  <w:pPr>
                    <w:widowControl w:val="0"/>
                    <w:jc w:val="both"/>
                    <w:rPr>
                      <w:rFonts w:ascii="Calibri" w:hAnsi="Calibri"/>
                      <w:kern w:val="2"/>
                      <w:sz w:val="21"/>
                      <w:lang w:val="en-US" w:eastAsia="zh-CN" w:bidi="ar-SA"/>
                    </w:rPr>
                  </w:pPr>
                </w:p>
              </w:tc>
              <w:tc>
                <w:tcPr>
                  <w:tcW w:w="0" w:type="auto"/>
                  <w:noWrap w:val="0"/>
                  <w:vAlign w:val="center"/>
                </w:tcPr>
                <w:p w14:paraId="02B969F3">
                  <w:pPr>
                    <w:widowControl w:val="0"/>
                    <w:jc w:val="both"/>
                    <w:rPr>
                      <w:rFonts w:ascii="Calibri" w:hAnsi="Calibri"/>
                      <w:kern w:val="2"/>
                      <w:sz w:val="21"/>
                      <w:lang w:val="en-US" w:eastAsia="zh-CN" w:bidi="ar-SA"/>
                    </w:rPr>
                  </w:pPr>
                </w:p>
              </w:tc>
              <w:tc>
                <w:tcPr>
                  <w:tcW w:w="0" w:type="auto"/>
                  <w:noWrap w:val="0"/>
                  <w:vAlign w:val="center"/>
                </w:tcPr>
                <w:p w14:paraId="228946D3">
                  <w:pPr>
                    <w:widowControl w:val="0"/>
                    <w:jc w:val="both"/>
                    <w:rPr>
                      <w:rFonts w:ascii="Calibri" w:hAnsi="Calibri"/>
                      <w:kern w:val="2"/>
                      <w:sz w:val="21"/>
                      <w:lang w:val="en-US" w:eastAsia="zh-CN" w:bidi="ar-SA"/>
                    </w:rPr>
                  </w:pPr>
                </w:p>
              </w:tc>
              <w:tc>
                <w:tcPr>
                  <w:tcW w:w="0" w:type="auto"/>
                  <w:noWrap w:val="0"/>
                  <w:vAlign w:val="center"/>
                </w:tcPr>
                <w:p w14:paraId="2A3BDB6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88C5AC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1E109B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汞、砷、硒、铋和锑的测定 原子荧光法》（HJ 694-2014）</w:t>
                  </w:r>
                </w:p>
              </w:tc>
              <w:tc>
                <w:tcPr>
                  <w:tcW w:w="83" w:type="pct"/>
                  <w:noWrap w:val="0"/>
                  <w:vAlign w:val="center"/>
                </w:tcPr>
                <w:p w14:paraId="584510B0">
                  <w:pPr>
                    <w:widowControl w:val="0"/>
                    <w:jc w:val="both"/>
                    <w:rPr>
                      <w:rFonts w:ascii="Calibri" w:hAnsi="Calibri"/>
                      <w:kern w:val="2"/>
                      <w:sz w:val="21"/>
                      <w:lang w:val="en-US" w:eastAsia="zh-CN" w:bidi="ar-SA"/>
                    </w:rPr>
                  </w:pPr>
                </w:p>
              </w:tc>
            </w:tr>
            <w:tr w14:paraId="778190C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55D028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155</w:t>
                  </w:r>
                </w:p>
              </w:tc>
              <w:tc>
                <w:tcPr>
                  <w:tcW w:w="240" w:type="pct"/>
                  <w:noWrap w:val="0"/>
                  <w:vAlign w:val="center"/>
                </w:tcPr>
                <w:p w14:paraId="71BF6DD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7EF7F6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DEE228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51446F7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4B8B170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总钡</w:t>
                  </w:r>
                </w:p>
              </w:tc>
              <w:tc>
                <w:tcPr>
                  <w:tcW w:w="153" w:type="pct"/>
                  <w:noWrap w:val="0"/>
                  <w:vAlign w:val="center"/>
                </w:tcPr>
                <w:p w14:paraId="48213FD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793E17B">
                  <w:pPr>
                    <w:widowControl w:val="0"/>
                    <w:jc w:val="both"/>
                    <w:rPr>
                      <w:rFonts w:ascii="Calibri" w:hAnsi="Calibri"/>
                      <w:kern w:val="2"/>
                      <w:sz w:val="21"/>
                      <w:lang w:val="en-US" w:eastAsia="zh-CN" w:bidi="ar-SA"/>
                    </w:rPr>
                  </w:pPr>
                </w:p>
              </w:tc>
              <w:tc>
                <w:tcPr>
                  <w:tcW w:w="0" w:type="auto"/>
                  <w:noWrap w:val="0"/>
                  <w:vAlign w:val="center"/>
                </w:tcPr>
                <w:p w14:paraId="1A93692E">
                  <w:pPr>
                    <w:widowControl w:val="0"/>
                    <w:jc w:val="both"/>
                    <w:rPr>
                      <w:rFonts w:ascii="Calibri" w:hAnsi="Calibri"/>
                      <w:kern w:val="2"/>
                      <w:sz w:val="21"/>
                      <w:lang w:val="en-US" w:eastAsia="zh-CN" w:bidi="ar-SA"/>
                    </w:rPr>
                  </w:pPr>
                </w:p>
              </w:tc>
              <w:tc>
                <w:tcPr>
                  <w:tcW w:w="0" w:type="auto"/>
                  <w:noWrap w:val="0"/>
                  <w:vAlign w:val="center"/>
                </w:tcPr>
                <w:p w14:paraId="5C89FACB">
                  <w:pPr>
                    <w:widowControl w:val="0"/>
                    <w:jc w:val="both"/>
                    <w:rPr>
                      <w:rFonts w:ascii="Calibri" w:hAnsi="Calibri"/>
                      <w:kern w:val="2"/>
                      <w:sz w:val="21"/>
                      <w:lang w:val="en-US" w:eastAsia="zh-CN" w:bidi="ar-SA"/>
                    </w:rPr>
                  </w:pPr>
                </w:p>
              </w:tc>
              <w:tc>
                <w:tcPr>
                  <w:tcW w:w="0" w:type="auto"/>
                  <w:noWrap w:val="0"/>
                  <w:vAlign w:val="center"/>
                </w:tcPr>
                <w:p w14:paraId="04AD8749">
                  <w:pPr>
                    <w:widowControl w:val="0"/>
                    <w:jc w:val="both"/>
                    <w:rPr>
                      <w:rFonts w:ascii="Calibri" w:hAnsi="Calibri"/>
                      <w:kern w:val="2"/>
                      <w:sz w:val="21"/>
                      <w:lang w:val="en-US" w:eastAsia="zh-CN" w:bidi="ar-SA"/>
                    </w:rPr>
                  </w:pPr>
                </w:p>
              </w:tc>
              <w:tc>
                <w:tcPr>
                  <w:tcW w:w="0" w:type="auto"/>
                  <w:noWrap w:val="0"/>
                  <w:vAlign w:val="center"/>
                </w:tcPr>
                <w:p w14:paraId="7C91EF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EE7557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78D5F8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钡的测定 火焰原子吸收分光光度法》（HJ 603-2011）</w:t>
                  </w:r>
                </w:p>
              </w:tc>
              <w:tc>
                <w:tcPr>
                  <w:tcW w:w="83" w:type="pct"/>
                  <w:noWrap w:val="0"/>
                  <w:vAlign w:val="center"/>
                </w:tcPr>
                <w:p w14:paraId="3E3A3F38">
                  <w:pPr>
                    <w:widowControl w:val="0"/>
                    <w:jc w:val="both"/>
                    <w:rPr>
                      <w:rFonts w:ascii="Calibri" w:hAnsi="Calibri"/>
                      <w:kern w:val="2"/>
                      <w:sz w:val="21"/>
                      <w:lang w:val="en-US" w:eastAsia="zh-CN" w:bidi="ar-SA"/>
                    </w:rPr>
                  </w:pPr>
                </w:p>
              </w:tc>
            </w:tr>
            <w:tr w14:paraId="50CB1F91">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0CE6B42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156</w:t>
                  </w:r>
                </w:p>
              </w:tc>
              <w:tc>
                <w:tcPr>
                  <w:tcW w:w="240" w:type="pct"/>
                  <w:noWrap w:val="0"/>
                  <w:vAlign w:val="center"/>
                </w:tcPr>
                <w:p w14:paraId="4B436C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3D8FB0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01C758C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BCEAE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318AAA0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总钡</w:t>
                  </w:r>
                </w:p>
              </w:tc>
              <w:tc>
                <w:tcPr>
                  <w:tcW w:w="153" w:type="pct"/>
                  <w:noWrap w:val="0"/>
                  <w:vAlign w:val="center"/>
                </w:tcPr>
                <w:p w14:paraId="2DE036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B1A3C29">
                  <w:pPr>
                    <w:widowControl w:val="0"/>
                    <w:jc w:val="both"/>
                    <w:rPr>
                      <w:rFonts w:ascii="Calibri" w:hAnsi="Calibri"/>
                      <w:kern w:val="2"/>
                      <w:sz w:val="21"/>
                      <w:lang w:val="en-US" w:eastAsia="zh-CN" w:bidi="ar-SA"/>
                    </w:rPr>
                  </w:pPr>
                </w:p>
              </w:tc>
              <w:tc>
                <w:tcPr>
                  <w:tcW w:w="0" w:type="auto"/>
                  <w:noWrap w:val="0"/>
                  <w:vAlign w:val="center"/>
                </w:tcPr>
                <w:p w14:paraId="04F9E77B">
                  <w:pPr>
                    <w:widowControl w:val="0"/>
                    <w:jc w:val="both"/>
                    <w:rPr>
                      <w:rFonts w:ascii="Calibri" w:hAnsi="Calibri"/>
                      <w:kern w:val="2"/>
                      <w:sz w:val="21"/>
                      <w:lang w:val="en-US" w:eastAsia="zh-CN" w:bidi="ar-SA"/>
                    </w:rPr>
                  </w:pPr>
                </w:p>
              </w:tc>
              <w:tc>
                <w:tcPr>
                  <w:tcW w:w="0" w:type="auto"/>
                  <w:noWrap w:val="0"/>
                  <w:vAlign w:val="center"/>
                </w:tcPr>
                <w:p w14:paraId="188CCCC1">
                  <w:pPr>
                    <w:widowControl w:val="0"/>
                    <w:jc w:val="both"/>
                    <w:rPr>
                      <w:rFonts w:ascii="Calibri" w:hAnsi="Calibri"/>
                      <w:kern w:val="2"/>
                      <w:sz w:val="21"/>
                      <w:lang w:val="en-US" w:eastAsia="zh-CN" w:bidi="ar-SA"/>
                    </w:rPr>
                  </w:pPr>
                </w:p>
              </w:tc>
              <w:tc>
                <w:tcPr>
                  <w:tcW w:w="0" w:type="auto"/>
                  <w:noWrap w:val="0"/>
                  <w:vAlign w:val="center"/>
                </w:tcPr>
                <w:p w14:paraId="4574CDDC">
                  <w:pPr>
                    <w:widowControl w:val="0"/>
                    <w:jc w:val="both"/>
                    <w:rPr>
                      <w:rFonts w:ascii="Calibri" w:hAnsi="Calibri"/>
                      <w:kern w:val="2"/>
                      <w:sz w:val="21"/>
                      <w:lang w:val="en-US" w:eastAsia="zh-CN" w:bidi="ar-SA"/>
                    </w:rPr>
                  </w:pPr>
                </w:p>
              </w:tc>
              <w:tc>
                <w:tcPr>
                  <w:tcW w:w="0" w:type="auto"/>
                  <w:noWrap w:val="0"/>
                  <w:vAlign w:val="center"/>
                </w:tcPr>
                <w:p w14:paraId="216E4CA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3587CB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A564E5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钡的测定 火焰原子吸收分光光度法》（HJ 603-2011）</w:t>
                  </w:r>
                </w:p>
              </w:tc>
              <w:tc>
                <w:tcPr>
                  <w:tcW w:w="83" w:type="pct"/>
                  <w:noWrap w:val="0"/>
                  <w:vAlign w:val="center"/>
                </w:tcPr>
                <w:p w14:paraId="450C0EFC">
                  <w:pPr>
                    <w:widowControl w:val="0"/>
                    <w:jc w:val="both"/>
                    <w:rPr>
                      <w:rFonts w:ascii="Calibri" w:hAnsi="Calibri"/>
                      <w:kern w:val="2"/>
                      <w:sz w:val="21"/>
                      <w:lang w:val="en-US" w:eastAsia="zh-CN" w:bidi="ar-SA"/>
                    </w:rPr>
                  </w:pPr>
                </w:p>
              </w:tc>
            </w:tr>
            <w:tr w14:paraId="52062F5A">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596448B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157</w:t>
                  </w:r>
                </w:p>
              </w:tc>
              <w:tc>
                <w:tcPr>
                  <w:tcW w:w="240" w:type="pct"/>
                  <w:noWrap w:val="0"/>
                  <w:vAlign w:val="center"/>
                </w:tcPr>
                <w:p w14:paraId="3BD6EA5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749FA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427F1C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6B8D0B7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682E2EE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总钡</w:t>
                  </w:r>
                </w:p>
              </w:tc>
              <w:tc>
                <w:tcPr>
                  <w:tcW w:w="153" w:type="pct"/>
                  <w:noWrap w:val="0"/>
                  <w:vAlign w:val="center"/>
                </w:tcPr>
                <w:p w14:paraId="2D8B885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BFFBF9E">
                  <w:pPr>
                    <w:widowControl w:val="0"/>
                    <w:jc w:val="both"/>
                    <w:rPr>
                      <w:rFonts w:ascii="Calibri" w:hAnsi="Calibri"/>
                      <w:kern w:val="2"/>
                      <w:sz w:val="21"/>
                      <w:lang w:val="en-US" w:eastAsia="zh-CN" w:bidi="ar-SA"/>
                    </w:rPr>
                  </w:pPr>
                </w:p>
              </w:tc>
              <w:tc>
                <w:tcPr>
                  <w:tcW w:w="0" w:type="auto"/>
                  <w:noWrap w:val="0"/>
                  <w:vAlign w:val="center"/>
                </w:tcPr>
                <w:p w14:paraId="4120627E">
                  <w:pPr>
                    <w:widowControl w:val="0"/>
                    <w:jc w:val="both"/>
                    <w:rPr>
                      <w:rFonts w:ascii="Calibri" w:hAnsi="Calibri"/>
                      <w:kern w:val="2"/>
                      <w:sz w:val="21"/>
                      <w:lang w:val="en-US" w:eastAsia="zh-CN" w:bidi="ar-SA"/>
                    </w:rPr>
                  </w:pPr>
                </w:p>
              </w:tc>
              <w:tc>
                <w:tcPr>
                  <w:tcW w:w="0" w:type="auto"/>
                  <w:noWrap w:val="0"/>
                  <w:vAlign w:val="center"/>
                </w:tcPr>
                <w:p w14:paraId="66A47E69">
                  <w:pPr>
                    <w:widowControl w:val="0"/>
                    <w:jc w:val="both"/>
                    <w:rPr>
                      <w:rFonts w:ascii="Calibri" w:hAnsi="Calibri"/>
                      <w:kern w:val="2"/>
                      <w:sz w:val="21"/>
                      <w:lang w:val="en-US" w:eastAsia="zh-CN" w:bidi="ar-SA"/>
                    </w:rPr>
                  </w:pPr>
                </w:p>
              </w:tc>
              <w:tc>
                <w:tcPr>
                  <w:tcW w:w="0" w:type="auto"/>
                  <w:noWrap w:val="0"/>
                  <w:vAlign w:val="center"/>
                </w:tcPr>
                <w:p w14:paraId="44FABDCF">
                  <w:pPr>
                    <w:widowControl w:val="0"/>
                    <w:jc w:val="both"/>
                    <w:rPr>
                      <w:rFonts w:ascii="Calibri" w:hAnsi="Calibri"/>
                      <w:kern w:val="2"/>
                      <w:sz w:val="21"/>
                      <w:lang w:val="en-US" w:eastAsia="zh-CN" w:bidi="ar-SA"/>
                    </w:rPr>
                  </w:pPr>
                </w:p>
              </w:tc>
              <w:tc>
                <w:tcPr>
                  <w:tcW w:w="0" w:type="auto"/>
                  <w:noWrap w:val="0"/>
                  <w:vAlign w:val="center"/>
                </w:tcPr>
                <w:p w14:paraId="6C740F5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2493E7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2B63C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钡的测定 火焰原子吸收分光光度法》（HJ 603-2011）</w:t>
                  </w:r>
                </w:p>
              </w:tc>
              <w:tc>
                <w:tcPr>
                  <w:tcW w:w="83" w:type="pct"/>
                  <w:noWrap w:val="0"/>
                  <w:vAlign w:val="center"/>
                </w:tcPr>
                <w:p w14:paraId="0138345B">
                  <w:pPr>
                    <w:widowControl w:val="0"/>
                    <w:jc w:val="both"/>
                    <w:rPr>
                      <w:rFonts w:ascii="Calibri" w:hAnsi="Calibri"/>
                      <w:kern w:val="2"/>
                      <w:sz w:val="21"/>
                      <w:lang w:val="en-US" w:eastAsia="zh-CN" w:bidi="ar-SA"/>
                    </w:rPr>
                  </w:pPr>
                </w:p>
              </w:tc>
            </w:tr>
            <w:tr w14:paraId="7F636428">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3F7152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158</w:t>
                  </w:r>
                </w:p>
              </w:tc>
              <w:tc>
                <w:tcPr>
                  <w:tcW w:w="240" w:type="pct"/>
                  <w:noWrap w:val="0"/>
                  <w:vAlign w:val="center"/>
                </w:tcPr>
                <w:p w14:paraId="08F7D59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253BB3B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E53C7E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43970AD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7B94D03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总铊</w:t>
                  </w:r>
                </w:p>
              </w:tc>
              <w:tc>
                <w:tcPr>
                  <w:tcW w:w="153" w:type="pct"/>
                  <w:noWrap w:val="0"/>
                  <w:vAlign w:val="center"/>
                </w:tcPr>
                <w:p w14:paraId="6CC65F0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643FF4B">
                  <w:pPr>
                    <w:widowControl w:val="0"/>
                    <w:jc w:val="both"/>
                    <w:rPr>
                      <w:rFonts w:ascii="Calibri" w:hAnsi="Calibri"/>
                      <w:kern w:val="2"/>
                      <w:sz w:val="21"/>
                      <w:lang w:val="en-US" w:eastAsia="zh-CN" w:bidi="ar-SA"/>
                    </w:rPr>
                  </w:pPr>
                </w:p>
              </w:tc>
              <w:tc>
                <w:tcPr>
                  <w:tcW w:w="0" w:type="auto"/>
                  <w:noWrap w:val="0"/>
                  <w:vAlign w:val="center"/>
                </w:tcPr>
                <w:p w14:paraId="753718A7">
                  <w:pPr>
                    <w:widowControl w:val="0"/>
                    <w:jc w:val="both"/>
                    <w:rPr>
                      <w:rFonts w:ascii="Calibri" w:hAnsi="Calibri"/>
                      <w:kern w:val="2"/>
                      <w:sz w:val="21"/>
                      <w:lang w:val="en-US" w:eastAsia="zh-CN" w:bidi="ar-SA"/>
                    </w:rPr>
                  </w:pPr>
                </w:p>
              </w:tc>
              <w:tc>
                <w:tcPr>
                  <w:tcW w:w="0" w:type="auto"/>
                  <w:noWrap w:val="0"/>
                  <w:vAlign w:val="center"/>
                </w:tcPr>
                <w:p w14:paraId="0FA93D5A">
                  <w:pPr>
                    <w:widowControl w:val="0"/>
                    <w:jc w:val="both"/>
                    <w:rPr>
                      <w:rFonts w:ascii="Calibri" w:hAnsi="Calibri"/>
                      <w:kern w:val="2"/>
                      <w:sz w:val="21"/>
                      <w:lang w:val="en-US" w:eastAsia="zh-CN" w:bidi="ar-SA"/>
                    </w:rPr>
                  </w:pPr>
                </w:p>
              </w:tc>
              <w:tc>
                <w:tcPr>
                  <w:tcW w:w="0" w:type="auto"/>
                  <w:noWrap w:val="0"/>
                  <w:vAlign w:val="center"/>
                </w:tcPr>
                <w:p w14:paraId="1F89BC80">
                  <w:pPr>
                    <w:widowControl w:val="0"/>
                    <w:jc w:val="both"/>
                    <w:rPr>
                      <w:rFonts w:ascii="Calibri" w:hAnsi="Calibri"/>
                      <w:kern w:val="2"/>
                      <w:sz w:val="21"/>
                      <w:lang w:val="en-US" w:eastAsia="zh-CN" w:bidi="ar-SA"/>
                    </w:rPr>
                  </w:pPr>
                </w:p>
              </w:tc>
              <w:tc>
                <w:tcPr>
                  <w:tcW w:w="0" w:type="auto"/>
                  <w:noWrap w:val="0"/>
                  <w:vAlign w:val="center"/>
                </w:tcPr>
                <w:p w14:paraId="18A7F2A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C9DAE5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C87DDD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铊的测定 石墨炉原子吸收分光光度法》（HJ 748-2015）</w:t>
                  </w:r>
                </w:p>
              </w:tc>
              <w:tc>
                <w:tcPr>
                  <w:tcW w:w="83" w:type="pct"/>
                  <w:noWrap w:val="0"/>
                  <w:vAlign w:val="center"/>
                </w:tcPr>
                <w:p w14:paraId="2BCE8E4B">
                  <w:pPr>
                    <w:widowControl w:val="0"/>
                    <w:jc w:val="both"/>
                    <w:rPr>
                      <w:rFonts w:ascii="Calibri" w:hAnsi="Calibri"/>
                      <w:kern w:val="2"/>
                      <w:sz w:val="21"/>
                      <w:lang w:val="en-US" w:eastAsia="zh-CN" w:bidi="ar-SA"/>
                    </w:rPr>
                  </w:pPr>
                </w:p>
              </w:tc>
            </w:tr>
            <w:tr w14:paraId="2DC9BB1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6D5760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159</w:t>
                  </w:r>
                </w:p>
              </w:tc>
              <w:tc>
                <w:tcPr>
                  <w:tcW w:w="240" w:type="pct"/>
                  <w:noWrap w:val="0"/>
                  <w:vAlign w:val="center"/>
                </w:tcPr>
                <w:p w14:paraId="3BA1749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66EB71F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1C3AD81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0AC3D94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25BD27D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总铊</w:t>
                  </w:r>
                </w:p>
              </w:tc>
              <w:tc>
                <w:tcPr>
                  <w:tcW w:w="153" w:type="pct"/>
                  <w:noWrap w:val="0"/>
                  <w:vAlign w:val="center"/>
                </w:tcPr>
                <w:p w14:paraId="3BB1E3A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6E63123F">
                  <w:pPr>
                    <w:widowControl w:val="0"/>
                    <w:jc w:val="both"/>
                    <w:rPr>
                      <w:rFonts w:ascii="Calibri" w:hAnsi="Calibri"/>
                      <w:kern w:val="2"/>
                      <w:sz w:val="21"/>
                      <w:lang w:val="en-US" w:eastAsia="zh-CN" w:bidi="ar-SA"/>
                    </w:rPr>
                  </w:pPr>
                </w:p>
              </w:tc>
              <w:tc>
                <w:tcPr>
                  <w:tcW w:w="0" w:type="auto"/>
                  <w:noWrap w:val="0"/>
                  <w:vAlign w:val="center"/>
                </w:tcPr>
                <w:p w14:paraId="489291FB">
                  <w:pPr>
                    <w:widowControl w:val="0"/>
                    <w:jc w:val="both"/>
                    <w:rPr>
                      <w:rFonts w:ascii="Calibri" w:hAnsi="Calibri"/>
                      <w:kern w:val="2"/>
                      <w:sz w:val="21"/>
                      <w:lang w:val="en-US" w:eastAsia="zh-CN" w:bidi="ar-SA"/>
                    </w:rPr>
                  </w:pPr>
                </w:p>
              </w:tc>
              <w:tc>
                <w:tcPr>
                  <w:tcW w:w="0" w:type="auto"/>
                  <w:noWrap w:val="0"/>
                  <w:vAlign w:val="center"/>
                </w:tcPr>
                <w:p w14:paraId="725579ED">
                  <w:pPr>
                    <w:widowControl w:val="0"/>
                    <w:jc w:val="both"/>
                    <w:rPr>
                      <w:rFonts w:ascii="Calibri" w:hAnsi="Calibri"/>
                      <w:kern w:val="2"/>
                      <w:sz w:val="21"/>
                      <w:lang w:val="en-US" w:eastAsia="zh-CN" w:bidi="ar-SA"/>
                    </w:rPr>
                  </w:pPr>
                </w:p>
              </w:tc>
              <w:tc>
                <w:tcPr>
                  <w:tcW w:w="0" w:type="auto"/>
                  <w:noWrap w:val="0"/>
                  <w:vAlign w:val="center"/>
                </w:tcPr>
                <w:p w14:paraId="1809A574">
                  <w:pPr>
                    <w:widowControl w:val="0"/>
                    <w:jc w:val="both"/>
                    <w:rPr>
                      <w:rFonts w:ascii="Calibri" w:hAnsi="Calibri"/>
                      <w:kern w:val="2"/>
                      <w:sz w:val="21"/>
                      <w:lang w:val="en-US" w:eastAsia="zh-CN" w:bidi="ar-SA"/>
                    </w:rPr>
                  </w:pPr>
                </w:p>
              </w:tc>
              <w:tc>
                <w:tcPr>
                  <w:tcW w:w="0" w:type="auto"/>
                  <w:noWrap w:val="0"/>
                  <w:vAlign w:val="center"/>
                </w:tcPr>
                <w:p w14:paraId="75FE26B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421DC7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DC7B96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铊的测定 石墨炉原子吸收分光光度法》（HJ 748-2015）</w:t>
                  </w:r>
                </w:p>
              </w:tc>
              <w:tc>
                <w:tcPr>
                  <w:tcW w:w="83" w:type="pct"/>
                  <w:noWrap w:val="0"/>
                  <w:vAlign w:val="center"/>
                </w:tcPr>
                <w:p w14:paraId="15C10529">
                  <w:pPr>
                    <w:widowControl w:val="0"/>
                    <w:jc w:val="both"/>
                    <w:rPr>
                      <w:rFonts w:ascii="Calibri" w:hAnsi="Calibri"/>
                      <w:kern w:val="2"/>
                      <w:sz w:val="21"/>
                      <w:lang w:val="en-US" w:eastAsia="zh-CN" w:bidi="ar-SA"/>
                    </w:rPr>
                  </w:pPr>
                </w:p>
              </w:tc>
            </w:tr>
            <w:tr w14:paraId="44154B2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1D40EB7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160</w:t>
                  </w:r>
                </w:p>
              </w:tc>
              <w:tc>
                <w:tcPr>
                  <w:tcW w:w="240" w:type="pct"/>
                  <w:noWrap w:val="0"/>
                  <w:vAlign w:val="center"/>
                </w:tcPr>
                <w:p w14:paraId="370B371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6A3F61F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73E1707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279D2E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7CC2969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总铊</w:t>
                  </w:r>
                </w:p>
              </w:tc>
              <w:tc>
                <w:tcPr>
                  <w:tcW w:w="153" w:type="pct"/>
                  <w:noWrap w:val="0"/>
                  <w:vAlign w:val="center"/>
                </w:tcPr>
                <w:p w14:paraId="58D567E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349AC416">
                  <w:pPr>
                    <w:widowControl w:val="0"/>
                    <w:jc w:val="both"/>
                    <w:rPr>
                      <w:rFonts w:ascii="Calibri" w:hAnsi="Calibri"/>
                      <w:kern w:val="2"/>
                      <w:sz w:val="21"/>
                      <w:lang w:val="en-US" w:eastAsia="zh-CN" w:bidi="ar-SA"/>
                    </w:rPr>
                  </w:pPr>
                </w:p>
              </w:tc>
              <w:tc>
                <w:tcPr>
                  <w:tcW w:w="0" w:type="auto"/>
                  <w:noWrap w:val="0"/>
                  <w:vAlign w:val="center"/>
                </w:tcPr>
                <w:p w14:paraId="645B2B63">
                  <w:pPr>
                    <w:widowControl w:val="0"/>
                    <w:jc w:val="both"/>
                    <w:rPr>
                      <w:rFonts w:ascii="Calibri" w:hAnsi="Calibri"/>
                      <w:kern w:val="2"/>
                      <w:sz w:val="21"/>
                      <w:lang w:val="en-US" w:eastAsia="zh-CN" w:bidi="ar-SA"/>
                    </w:rPr>
                  </w:pPr>
                </w:p>
              </w:tc>
              <w:tc>
                <w:tcPr>
                  <w:tcW w:w="0" w:type="auto"/>
                  <w:noWrap w:val="0"/>
                  <w:vAlign w:val="center"/>
                </w:tcPr>
                <w:p w14:paraId="0B870B19">
                  <w:pPr>
                    <w:widowControl w:val="0"/>
                    <w:jc w:val="both"/>
                    <w:rPr>
                      <w:rFonts w:ascii="Calibri" w:hAnsi="Calibri"/>
                      <w:kern w:val="2"/>
                      <w:sz w:val="21"/>
                      <w:lang w:val="en-US" w:eastAsia="zh-CN" w:bidi="ar-SA"/>
                    </w:rPr>
                  </w:pPr>
                </w:p>
              </w:tc>
              <w:tc>
                <w:tcPr>
                  <w:tcW w:w="0" w:type="auto"/>
                  <w:noWrap w:val="0"/>
                  <w:vAlign w:val="center"/>
                </w:tcPr>
                <w:p w14:paraId="5829F501">
                  <w:pPr>
                    <w:widowControl w:val="0"/>
                    <w:jc w:val="both"/>
                    <w:rPr>
                      <w:rFonts w:ascii="Calibri" w:hAnsi="Calibri"/>
                      <w:kern w:val="2"/>
                      <w:sz w:val="21"/>
                      <w:lang w:val="en-US" w:eastAsia="zh-CN" w:bidi="ar-SA"/>
                    </w:rPr>
                  </w:pPr>
                </w:p>
              </w:tc>
              <w:tc>
                <w:tcPr>
                  <w:tcW w:w="0" w:type="auto"/>
                  <w:noWrap w:val="0"/>
                  <w:vAlign w:val="center"/>
                </w:tcPr>
                <w:p w14:paraId="5539E10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5F7AF0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14FD9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《水质 铊的测定 石墨炉原子吸收分光光度法》（HJ 748-2015）</w:t>
                  </w:r>
                </w:p>
              </w:tc>
              <w:tc>
                <w:tcPr>
                  <w:tcW w:w="83" w:type="pct"/>
                  <w:noWrap w:val="0"/>
                  <w:vAlign w:val="center"/>
                </w:tcPr>
                <w:p w14:paraId="5BABD3C2">
                  <w:pPr>
                    <w:widowControl w:val="0"/>
                    <w:jc w:val="both"/>
                    <w:rPr>
                      <w:rFonts w:ascii="Calibri" w:hAnsi="Calibri"/>
                      <w:kern w:val="2"/>
                      <w:sz w:val="21"/>
                      <w:lang w:val="en-US" w:eastAsia="zh-CN" w:bidi="ar-SA"/>
                    </w:rPr>
                  </w:pPr>
                </w:p>
              </w:tc>
            </w:tr>
            <w:tr w14:paraId="3C9494D5">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BB067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161</w:t>
                  </w:r>
                </w:p>
              </w:tc>
              <w:tc>
                <w:tcPr>
                  <w:tcW w:w="240" w:type="pct"/>
                  <w:noWrap w:val="0"/>
                  <w:vAlign w:val="center"/>
                </w:tcPr>
                <w:p w14:paraId="2AE6BC8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38B8FD8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4DEE44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37518C0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5A3FE65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总钼</w:t>
                  </w:r>
                </w:p>
              </w:tc>
              <w:tc>
                <w:tcPr>
                  <w:tcW w:w="153" w:type="pct"/>
                  <w:noWrap w:val="0"/>
                  <w:vAlign w:val="center"/>
                </w:tcPr>
                <w:p w14:paraId="76D695B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1048A2A">
                  <w:pPr>
                    <w:widowControl w:val="0"/>
                    <w:jc w:val="both"/>
                    <w:rPr>
                      <w:rFonts w:ascii="Calibri" w:hAnsi="Calibri"/>
                      <w:kern w:val="2"/>
                      <w:sz w:val="21"/>
                      <w:lang w:val="en-US" w:eastAsia="zh-CN" w:bidi="ar-SA"/>
                    </w:rPr>
                  </w:pPr>
                </w:p>
              </w:tc>
              <w:tc>
                <w:tcPr>
                  <w:tcW w:w="0" w:type="auto"/>
                  <w:noWrap w:val="0"/>
                  <w:vAlign w:val="center"/>
                </w:tcPr>
                <w:p w14:paraId="6BF9BE86">
                  <w:pPr>
                    <w:widowControl w:val="0"/>
                    <w:jc w:val="both"/>
                    <w:rPr>
                      <w:rFonts w:ascii="Calibri" w:hAnsi="Calibri"/>
                      <w:kern w:val="2"/>
                      <w:sz w:val="21"/>
                      <w:lang w:val="en-US" w:eastAsia="zh-CN" w:bidi="ar-SA"/>
                    </w:rPr>
                  </w:pPr>
                </w:p>
              </w:tc>
              <w:tc>
                <w:tcPr>
                  <w:tcW w:w="0" w:type="auto"/>
                  <w:noWrap w:val="0"/>
                  <w:vAlign w:val="center"/>
                </w:tcPr>
                <w:p w14:paraId="6301CBCA">
                  <w:pPr>
                    <w:widowControl w:val="0"/>
                    <w:jc w:val="both"/>
                    <w:rPr>
                      <w:rFonts w:ascii="Calibri" w:hAnsi="Calibri"/>
                      <w:kern w:val="2"/>
                      <w:sz w:val="21"/>
                      <w:lang w:val="en-US" w:eastAsia="zh-CN" w:bidi="ar-SA"/>
                    </w:rPr>
                  </w:pPr>
                </w:p>
              </w:tc>
              <w:tc>
                <w:tcPr>
                  <w:tcW w:w="0" w:type="auto"/>
                  <w:noWrap w:val="0"/>
                  <w:vAlign w:val="center"/>
                </w:tcPr>
                <w:p w14:paraId="5F8C1CA5">
                  <w:pPr>
                    <w:widowControl w:val="0"/>
                    <w:jc w:val="both"/>
                    <w:rPr>
                      <w:rFonts w:ascii="Calibri" w:hAnsi="Calibri"/>
                      <w:kern w:val="2"/>
                      <w:sz w:val="21"/>
                      <w:lang w:val="en-US" w:eastAsia="zh-CN" w:bidi="ar-SA"/>
                    </w:rPr>
                  </w:pPr>
                </w:p>
              </w:tc>
              <w:tc>
                <w:tcPr>
                  <w:tcW w:w="0" w:type="auto"/>
                  <w:noWrap w:val="0"/>
                  <w:vAlign w:val="center"/>
                </w:tcPr>
                <w:p w14:paraId="1074019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3952169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4E54948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 质 镍的测定 火焰原子吸收分光光度法》（GB 11912-2021）</w:t>
                  </w:r>
                </w:p>
              </w:tc>
              <w:tc>
                <w:tcPr>
                  <w:tcW w:w="83" w:type="pct"/>
                  <w:noWrap w:val="0"/>
                  <w:vAlign w:val="center"/>
                </w:tcPr>
                <w:p w14:paraId="2DFABAFC">
                  <w:pPr>
                    <w:widowControl w:val="0"/>
                    <w:jc w:val="both"/>
                    <w:rPr>
                      <w:rFonts w:ascii="Calibri" w:hAnsi="Calibri"/>
                      <w:kern w:val="2"/>
                      <w:sz w:val="21"/>
                      <w:lang w:val="en-US" w:eastAsia="zh-CN" w:bidi="ar-SA"/>
                    </w:rPr>
                  </w:pPr>
                </w:p>
              </w:tc>
            </w:tr>
            <w:tr w14:paraId="151EE5D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172CAB5">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162</w:t>
                  </w:r>
                </w:p>
              </w:tc>
              <w:tc>
                <w:tcPr>
                  <w:tcW w:w="240" w:type="pct"/>
                  <w:noWrap w:val="0"/>
                  <w:vAlign w:val="center"/>
                </w:tcPr>
                <w:p w14:paraId="07186A0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A66977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F7A294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02157E4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051AEA8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总钼</w:t>
                  </w:r>
                </w:p>
              </w:tc>
              <w:tc>
                <w:tcPr>
                  <w:tcW w:w="153" w:type="pct"/>
                  <w:noWrap w:val="0"/>
                  <w:vAlign w:val="center"/>
                </w:tcPr>
                <w:p w14:paraId="787FFA6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70994650">
                  <w:pPr>
                    <w:widowControl w:val="0"/>
                    <w:jc w:val="both"/>
                    <w:rPr>
                      <w:rFonts w:ascii="Calibri" w:hAnsi="Calibri"/>
                      <w:kern w:val="2"/>
                      <w:sz w:val="21"/>
                      <w:lang w:val="en-US" w:eastAsia="zh-CN" w:bidi="ar-SA"/>
                    </w:rPr>
                  </w:pPr>
                </w:p>
              </w:tc>
              <w:tc>
                <w:tcPr>
                  <w:tcW w:w="0" w:type="auto"/>
                  <w:noWrap w:val="0"/>
                  <w:vAlign w:val="center"/>
                </w:tcPr>
                <w:p w14:paraId="29D199A5">
                  <w:pPr>
                    <w:widowControl w:val="0"/>
                    <w:jc w:val="both"/>
                    <w:rPr>
                      <w:rFonts w:ascii="Calibri" w:hAnsi="Calibri"/>
                      <w:kern w:val="2"/>
                      <w:sz w:val="21"/>
                      <w:lang w:val="en-US" w:eastAsia="zh-CN" w:bidi="ar-SA"/>
                    </w:rPr>
                  </w:pPr>
                </w:p>
              </w:tc>
              <w:tc>
                <w:tcPr>
                  <w:tcW w:w="0" w:type="auto"/>
                  <w:noWrap w:val="0"/>
                  <w:vAlign w:val="center"/>
                </w:tcPr>
                <w:p w14:paraId="71684A18">
                  <w:pPr>
                    <w:widowControl w:val="0"/>
                    <w:jc w:val="both"/>
                    <w:rPr>
                      <w:rFonts w:ascii="Calibri" w:hAnsi="Calibri"/>
                      <w:kern w:val="2"/>
                      <w:sz w:val="21"/>
                      <w:lang w:val="en-US" w:eastAsia="zh-CN" w:bidi="ar-SA"/>
                    </w:rPr>
                  </w:pPr>
                </w:p>
              </w:tc>
              <w:tc>
                <w:tcPr>
                  <w:tcW w:w="0" w:type="auto"/>
                  <w:noWrap w:val="0"/>
                  <w:vAlign w:val="center"/>
                </w:tcPr>
                <w:p w14:paraId="37257993">
                  <w:pPr>
                    <w:widowControl w:val="0"/>
                    <w:jc w:val="both"/>
                    <w:rPr>
                      <w:rFonts w:ascii="Calibri" w:hAnsi="Calibri"/>
                      <w:kern w:val="2"/>
                      <w:sz w:val="21"/>
                      <w:lang w:val="en-US" w:eastAsia="zh-CN" w:bidi="ar-SA"/>
                    </w:rPr>
                  </w:pPr>
                </w:p>
              </w:tc>
              <w:tc>
                <w:tcPr>
                  <w:tcW w:w="0" w:type="auto"/>
                  <w:noWrap w:val="0"/>
                  <w:vAlign w:val="center"/>
                </w:tcPr>
                <w:p w14:paraId="2274482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6F65C13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7FC24E0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 质 钼和钛的测定 石墨炉原子吸收分光光度法》（HJ 807-2022）</w:t>
                  </w:r>
                </w:p>
              </w:tc>
              <w:tc>
                <w:tcPr>
                  <w:tcW w:w="83" w:type="pct"/>
                  <w:noWrap w:val="0"/>
                  <w:vAlign w:val="center"/>
                </w:tcPr>
                <w:p w14:paraId="6448ACEC">
                  <w:pPr>
                    <w:widowControl w:val="0"/>
                    <w:jc w:val="both"/>
                    <w:rPr>
                      <w:rFonts w:ascii="Calibri" w:hAnsi="Calibri"/>
                      <w:kern w:val="2"/>
                      <w:sz w:val="21"/>
                      <w:lang w:val="en-US" w:eastAsia="zh-CN" w:bidi="ar-SA"/>
                    </w:rPr>
                  </w:pPr>
                </w:p>
              </w:tc>
            </w:tr>
            <w:tr w14:paraId="3669928F">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7950243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163</w:t>
                  </w:r>
                </w:p>
              </w:tc>
              <w:tc>
                <w:tcPr>
                  <w:tcW w:w="240" w:type="pct"/>
                  <w:noWrap w:val="0"/>
                  <w:vAlign w:val="center"/>
                </w:tcPr>
                <w:p w14:paraId="7328967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75E3A11A">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630284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3FEC888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51F04319">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总钼</w:t>
                  </w:r>
                </w:p>
              </w:tc>
              <w:tc>
                <w:tcPr>
                  <w:tcW w:w="153" w:type="pct"/>
                  <w:noWrap w:val="0"/>
                  <w:vAlign w:val="center"/>
                </w:tcPr>
                <w:p w14:paraId="4DC5205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49CAEFF2">
                  <w:pPr>
                    <w:widowControl w:val="0"/>
                    <w:jc w:val="both"/>
                    <w:rPr>
                      <w:rFonts w:ascii="Calibri" w:hAnsi="Calibri"/>
                      <w:kern w:val="2"/>
                      <w:sz w:val="21"/>
                      <w:lang w:val="en-US" w:eastAsia="zh-CN" w:bidi="ar-SA"/>
                    </w:rPr>
                  </w:pPr>
                </w:p>
              </w:tc>
              <w:tc>
                <w:tcPr>
                  <w:tcW w:w="0" w:type="auto"/>
                  <w:noWrap w:val="0"/>
                  <w:vAlign w:val="center"/>
                </w:tcPr>
                <w:p w14:paraId="204622FE">
                  <w:pPr>
                    <w:widowControl w:val="0"/>
                    <w:jc w:val="both"/>
                    <w:rPr>
                      <w:rFonts w:ascii="Calibri" w:hAnsi="Calibri"/>
                      <w:kern w:val="2"/>
                      <w:sz w:val="21"/>
                      <w:lang w:val="en-US" w:eastAsia="zh-CN" w:bidi="ar-SA"/>
                    </w:rPr>
                  </w:pPr>
                </w:p>
              </w:tc>
              <w:tc>
                <w:tcPr>
                  <w:tcW w:w="0" w:type="auto"/>
                  <w:noWrap w:val="0"/>
                  <w:vAlign w:val="center"/>
                </w:tcPr>
                <w:p w14:paraId="36686B55">
                  <w:pPr>
                    <w:widowControl w:val="0"/>
                    <w:jc w:val="both"/>
                    <w:rPr>
                      <w:rFonts w:ascii="Calibri" w:hAnsi="Calibri"/>
                      <w:kern w:val="2"/>
                      <w:sz w:val="21"/>
                      <w:lang w:val="en-US" w:eastAsia="zh-CN" w:bidi="ar-SA"/>
                    </w:rPr>
                  </w:pPr>
                </w:p>
              </w:tc>
              <w:tc>
                <w:tcPr>
                  <w:tcW w:w="0" w:type="auto"/>
                  <w:noWrap w:val="0"/>
                  <w:vAlign w:val="center"/>
                </w:tcPr>
                <w:p w14:paraId="0999A13F">
                  <w:pPr>
                    <w:widowControl w:val="0"/>
                    <w:jc w:val="both"/>
                    <w:rPr>
                      <w:rFonts w:ascii="Calibri" w:hAnsi="Calibri"/>
                      <w:kern w:val="2"/>
                      <w:sz w:val="21"/>
                      <w:lang w:val="en-US" w:eastAsia="zh-CN" w:bidi="ar-SA"/>
                    </w:rPr>
                  </w:pPr>
                </w:p>
              </w:tc>
              <w:tc>
                <w:tcPr>
                  <w:tcW w:w="0" w:type="auto"/>
                  <w:noWrap w:val="0"/>
                  <w:vAlign w:val="center"/>
                </w:tcPr>
                <w:p w14:paraId="18E0227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743AAEC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C208BD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 质 钼和钛的测定 石墨炉原子吸收分光光度法》（HJ 807-2022）</w:t>
                  </w:r>
                </w:p>
              </w:tc>
              <w:tc>
                <w:tcPr>
                  <w:tcW w:w="83" w:type="pct"/>
                  <w:noWrap w:val="0"/>
                  <w:vAlign w:val="center"/>
                </w:tcPr>
                <w:p w14:paraId="40DCB5BA">
                  <w:pPr>
                    <w:widowControl w:val="0"/>
                    <w:jc w:val="both"/>
                    <w:rPr>
                      <w:rFonts w:ascii="Calibri" w:hAnsi="Calibri"/>
                      <w:kern w:val="2"/>
                      <w:sz w:val="21"/>
                      <w:lang w:val="en-US" w:eastAsia="zh-CN" w:bidi="ar-SA"/>
                    </w:rPr>
                  </w:pPr>
                </w:p>
              </w:tc>
            </w:tr>
            <w:tr w14:paraId="1BA464D6">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4BB3EF8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164</w:t>
                  </w:r>
                </w:p>
              </w:tc>
              <w:tc>
                <w:tcPr>
                  <w:tcW w:w="240" w:type="pct"/>
                  <w:noWrap w:val="0"/>
                  <w:vAlign w:val="center"/>
                </w:tcPr>
                <w:p w14:paraId="43CE1AC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5F56449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0653F5A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监测井3</w:t>
                  </w:r>
                </w:p>
              </w:tc>
              <w:tc>
                <w:tcPr>
                  <w:tcW w:w="858" w:type="pct"/>
                  <w:noWrap w:val="0"/>
                  <w:vAlign w:val="center"/>
                </w:tcPr>
                <w:p w14:paraId="30341E5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346E44D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耗氧量（CODcr法）</w:t>
                  </w:r>
                </w:p>
              </w:tc>
              <w:tc>
                <w:tcPr>
                  <w:tcW w:w="153" w:type="pct"/>
                  <w:noWrap w:val="0"/>
                  <w:vAlign w:val="center"/>
                </w:tcPr>
                <w:p w14:paraId="511DE2E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21DFB468">
                  <w:pPr>
                    <w:widowControl w:val="0"/>
                    <w:jc w:val="both"/>
                    <w:rPr>
                      <w:rFonts w:ascii="Calibri" w:hAnsi="Calibri"/>
                      <w:kern w:val="2"/>
                      <w:sz w:val="21"/>
                      <w:lang w:val="en-US" w:eastAsia="zh-CN" w:bidi="ar-SA"/>
                    </w:rPr>
                  </w:pPr>
                </w:p>
              </w:tc>
              <w:tc>
                <w:tcPr>
                  <w:tcW w:w="0" w:type="auto"/>
                  <w:noWrap w:val="0"/>
                  <w:vAlign w:val="center"/>
                </w:tcPr>
                <w:p w14:paraId="615D5CC9">
                  <w:pPr>
                    <w:widowControl w:val="0"/>
                    <w:jc w:val="both"/>
                    <w:rPr>
                      <w:rFonts w:ascii="Calibri" w:hAnsi="Calibri"/>
                      <w:kern w:val="2"/>
                      <w:sz w:val="21"/>
                      <w:lang w:val="en-US" w:eastAsia="zh-CN" w:bidi="ar-SA"/>
                    </w:rPr>
                  </w:pPr>
                </w:p>
              </w:tc>
              <w:tc>
                <w:tcPr>
                  <w:tcW w:w="0" w:type="auto"/>
                  <w:noWrap w:val="0"/>
                  <w:vAlign w:val="center"/>
                </w:tcPr>
                <w:p w14:paraId="4CCA6E02">
                  <w:pPr>
                    <w:widowControl w:val="0"/>
                    <w:jc w:val="both"/>
                    <w:rPr>
                      <w:rFonts w:ascii="Calibri" w:hAnsi="Calibri"/>
                      <w:kern w:val="2"/>
                      <w:sz w:val="21"/>
                      <w:lang w:val="en-US" w:eastAsia="zh-CN" w:bidi="ar-SA"/>
                    </w:rPr>
                  </w:pPr>
                </w:p>
              </w:tc>
              <w:tc>
                <w:tcPr>
                  <w:tcW w:w="0" w:type="auto"/>
                  <w:noWrap w:val="0"/>
                  <w:vAlign w:val="center"/>
                </w:tcPr>
                <w:p w14:paraId="7664832F">
                  <w:pPr>
                    <w:widowControl w:val="0"/>
                    <w:jc w:val="both"/>
                    <w:rPr>
                      <w:rFonts w:ascii="Calibri" w:hAnsi="Calibri"/>
                      <w:kern w:val="2"/>
                      <w:sz w:val="21"/>
                      <w:lang w:val="en-US" w:eastAsia="zh-CN" w:bidi="ar-SA"/>
                    </w:rPr>
                  </w:pPr>
                </w:p>
              </w:tc>
              <w:tc>
                <w:tcPr>
                  <w:tcW w:w="0" w:type="auto"/>
                  <w:noWrap w:val="0"/>
                  <w:vAlign w:val="center"/>
                </w:tcPr>
                <w:p w14:paraId="1192731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595D8A9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07B5AAC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有机物综 合指标》（1.2 耗氧量 碱性高锰酸钾滴定法）（GB/T 5750.7-2022）</w:t>
                  </w:r>
                </w:p>
              </w:tc>
              <w:tc>
                <w:tcPr>
                  <w:tcW w:w="83" w:type="pct"/>
                  <w:noWrap w:val="0"/>
                  <w:vAlign w:val="center"/>
                </w:tcPr>
                <w:p w14:paraId="62C3D592">
                  <w:pPr>
                    <w:widowControl w:val="0"/>
                    <w:jc w:val="both"/>
                    <w:rPr>
                      <w:rFonts w:ascii="Calibri" w:hAnsi="Calibri"/>
                      <w:kern w:val="2"/>
                      <w:sz w:val="21"/>
                      <w:lang w:val="en-US" w:eastAsia="zh-CN" w:bidi="ar-SA"/>
                    </w:rPr>
                  </w:pPr>
                </w:p>
              </w:tc>
            </w:tr>
            <w:tr w14:paraId="16E1F659">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BCFAFE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165</w:t>
                  </w:r>
                </w:p>
              </w:tc>
              <w:tc>
                <w:tcPr>
                  <w:tcW w:w="240" w:type="pct"/>
                  <w:noWrap w:val="0"/>
                  <w:vAlign w:val="center"/>
                </w:tcPr>
                <w:p w14:paraId="212D8D2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2222EA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23A3658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监测井2</w:t>
                  </w:r>
                </w:p>
              </w:tc>
              <w:tc>
                <w:tcPr>
                  <w:tcW w:w="858" w:type="pct"/>
                  <w:noWrap w:val="0"/>
                  <w:vAlign w:val="center"/>
                </w:tcPr>
                <w:p w14:paraId="6CE27321">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水位,pH值,溶解性总固体,总硬度,耗氧量（CODcr法）,氨氮（NH3-N）,硫酸盐（以SO42-计）,氯化物（以Cl-计）,氟化物（以F-计）,碘化物,氰化物,总铁,总锰,总铜,总锌,总铝,钠,总汞,总砷,总硒,总镉,六价铬,总铅,总铍,硼,总锑,总钡,总镍,总钼,总钴,总银,总铊</w:t>
                  </w:r>
                </w:p>
              </w:tc>
              <w:tc>
                <w:tcPr>
                  <w:tcW w:w="209" w:type="pct"/>
                  <w:noWrap w:val="0"/>
                  <w:vAlign w:val="center"/>
                </w:tcPr>
                <w:p w14:paraId="7EED123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耗氧量（CODcr法）</w:t>
                  </w:r>
                </w:p>
              </w:tc>
              <w:tc>
                <w:tcPr>
                  <w:tcW w:w="153" w:type="pct"/>
                  <w:noWrap w:val="0"/>
                  <w:vAlign w:val="center"/>
                </w:tcPr>
                <w:p w14:paraId="0FBC7412">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59845C10">
                  <w:pPr>
                    <w:widowControl w:val="0"/>
                    <w:jc w:val="both"/>
                    <w:rPr>
                      <w:rFonts w:ascii="Calibri" w:hAnsi="Calibri"/>
                      <w:kern w:val="2"/>
                      <w:sz w:val="21"/>
                      <w:lang w:val="en-US" w:eastAsia="zh-CN" w:bidi="ar-SA"/>
                    </w:rPr>
                  </w:pPr>
                </w:p>
              </w:tc>
              <w:tc>
                <w:tcPr>
                  <w:tcW w:w="0" w:type="auto"/>
                  <w:noWrap w:val="0"/>
                  <w:vAlign w:val="center"/>
                </w:tcPr>
                <w:p w14:paraId="3F9E089C">
                  <w:pPr>
                    <w:widowControl w:val="0"/>
                    <w:jc w:val="both"/>
                    <w:rPr>
                      <w:rFonts w:ascii="Calibri" w:hAnsi="Calibri"/>
                      <w:kern w:val="2"/>
                      <w:sz w:val="21"/>
                      <w:lang w:val="en-US" w:eastAsia="zh-CN" w:bidi="ar-SA"/>
                    </w:rPr>
                  </w:pPr>
                </w:p>
              </w:tc>
              <w:tc>
                <w:tcPr>
                  <w:tcW w:w="0" w:type="auto"/>
                  <w:noWrap w:val="0"/>
                  <w:vAlign w:val="center"/>
                </w:tcPr>
                <w:p w14:paraId="7F3F4840">
                  <w:pPr>
                    <w:widowControl w:val="0"/>
                    <w:jc w:val="both"/>
                    <w:rPr>
                      <w:rFonts w:ascii="Calibri" w:hAnsi="Calibri"/>
                      <w:kern w:val="2"/>
                      <w:sz w:val="21"/>
                      <w:lang w:val="en-US" w:eastAsia="zh-CN" w:bidi="ar-SA"/>
                    </w:rPr>
                  </w:pPr>
                </w:p>
              </w:tc>
              <w:tc>
                <w:tcPr>
                  <w:tcW w:w="0" w:type="auto"/>
                  <w:noWrap w:val="0"/>
                  <w:vAlign w:val="center"/>
                </w:tcPr>
                <w:p w14:paraId="2615C341">
                  <w:pPr>
                    <w:widowControl w:val="0"/>
                    <w:jc w:val="both"/>
                    <w:rPr>
                      <w:rFonts w:ascii="Calibri" w:hAnsi="Calibri"/>
                      <w:kern w:val="2"/>
                      <w:sz w:val="21"/>
                      <w:lang w:val="en-US" w:eastAsia="zh-CN" w:bidi="ar-SA"/>
                    </w:rPr>
                  </w:pPr>
                </w:p>
              </w:tc>
              <w:tc>
                <w:tcPr>
                  <w:tcW w:w="0" w:type="auto"/>
                  <w:noWrap w:val="0"/>
                  <w:vAlign w:val="center"/>
                </w:tcPr>
                <w:p w14:paraId="205BF0BE">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46C853B">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34D2ECBC">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有机物综 合指标》（1.2 耗氧量 碱性高锰酸钾滴定法）（GB/T 5750.7-2022）</w:t>
                  </w:r>
                </w:p>
              </w:tc>
              <w:tc>
                <w:tcPr>
                  <w:tcW w:w="83" w:type="pct"/>
                  <w:noWrap w:val="0"/>
                  <w:vAlign w:val="center"/>
                </w:tcPr>
                <w:p w14:paraId="4D590D13">
                  <w:pPr>
                    <w:widowControl w:val="0"/>
                    <w:jc w:val="both"/>
                    <w:rPr>
                      <w:rFonts w:ascii="Calibri" w:hAnsi="Calibri"/>
                      <w:kern w:val="2"/>
                      <w:sz w:val="21"/>
                      <w:lang w:val="en-US" w:eastAsia="zh-CN" w:bidi="ar-SA"/>
                    </w:rPr>
                  </w:pPr>
                </w:p>
              </w:tc>
            </w:tr>
            <w:tr w14:paraId="7B5A5B47">
              <w:tblPrEx>
                <w:tblBorders>
                  <w:top w:val="none" w:color="000000" w:sz="0" w:space="0"/>
                  <w:left w:val="none" w:color="000000" w:sz="0" w:space="0"/>
                  <w:bottom w:val="none" w:color="000000" w:sz="0" w:space="0"/>
                  <w:right w:val="none" w:color="000000" w:sz="0" w:space="0"/>
                  <w:insideH w:val="single" w:color="auto" w:sz="4" w:space="0"/>
                  <w:insideV w:val="single" w:color="auto" w:sz="4" w:space="0"/>
                </w:tblBorders>
                <w:tblCellMar>
                  <w:top w:w="0" w:type="dxa"/>
                  <w:left w:w="108" w:type="dxa"/>
                  <w:bottom w:w="0" w:type="dxa"/>
                  <w:right w:w="108" w:type="dxa"/>
                </w:tblCellMar>
              </w:tblPrEx>
              <w:tc>
                <w:tcPr>
                  <w:tcW w:w="166" w:type="pct"/>
                  <w:noWrap w:val="0"/>
                  <w:vAlign w:val="center"/>
                </w:tcPr>
                <w:p w14:paraId="28226147">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166</w:t>
                  </w:r>
                </w:p>
              </w:tc>
              <w:tc>
                <w:tcPr>
                  <w:tcW w:w="240" w:type="pct"/>
                  <w:noWrap w:val="0"/>
                  <w:vAlign w:val="center"/>
                </w:tcPr>
                <w:p w14:paraId="13EE5ED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地下水</w:t>
                  </w:r>
                </w:p>
              </w:tc>
              <w:tc>
                <w:tcPr>
                  <w:tcW w:w="225" w:type="pct"/>
                  <w:noWrap w:val="0"/>
                  <w:vAlign w:val="center"/>
                </w:tcPr>
                <w:p w14:paraId="17793EB4">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w:t>
                  </w:r>
                </w:p>
              </w:tc>
              <w:tc>
                <w:tcPr>
                  <w:tcW w:w="230" w:type="pct"/>
                  <w:noWrap w:val="0"/>
                  <w:vAlign w:val="center"/>
                </w:tcPr>
                <w:p w14:paraId="558A3C9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监测井1</w:t>
                  </w:r>
                </w:p>
              </w:tc>
              <w:tc>
                <w:tcPr>
                  <w:tcW w:w="858" w:type="pct"/>
                  <w:noWrap w:val="0"/>
                  <w:vAlign w:val="center"/>
                </w:tcPr>
                <w:p w14:paraId="7539A503">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pH值,水位,溶解性总固体,耗氧量（CODcr法）,氨氮（NH3-N）,总硬度,硫酸盐（以SO42-计）,氯化物（以Cl-计）,氟化物（以F-计）,碘化物,氰化物,总铁,总锰,总铜,总锌,铝,总铍,硼,总铅,总锑,总钡,总镍,总钼,总钴,总银,总铊</w:t>
                  </w:r>
                </w:p>
              </w:tc>
              <w:tc>
                <w:tcPr>
                  <w:tcW w:w="209" w:type="pct"/>
                  <w:noWrap w:val="0"/>
                  <w:vAlign w:val="center"/>
                </w:tcPr>
                <w:p w14:paraId="39EEB680">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耗氧量（CODcr法）</w:t>
                  </w:r>
                </w:p>
              </w:tc>
              <w:tc>
                <w:tcPr>
                  <w:tcW w:w="153" w:type="pct"/>
                  <w:noWrap w:val="0"/>
                  <w:vAlign w:val="center"/>
                </w:tcPr>
                <w:p w14:paraId="7ACD30B8">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手工</w:t>
                  </w:r>
                </w:p>
              </w:tc>
              <w:tc>
                <w:tcPr>
                  <w:tcW w:w="83" w:type="pct"/>
                  <w:noWrap w:val="0"/>
                  <w:vAlign w:val="center"/>
                </w:tcPr>
                <w:p w14:paraId="19CC0DA1">
                  <w:pPr>
                    <w:widowControl w:val="0"/>
                    <w:jc w:val="both"/>
                    <w:rPr>
                      <w:rFonts w:ascii="Calibri" w:hAnsi="Calibri"/>
                      <w:kern w:val="2"/>
                      <w:sz w:val="21"/>
                      <w:lang w:val="en-US" w:eastAsia="zh-CN" w:bidi="ar-SA"/>
                    </w:rPr>
                  </w:pPr>
                </w:p>
              </w:tc>
              <w:tc>
                <w:tcPr>
                  <w:tcW w:w="0" w:type="auto"/>
                  <w:noWrap w:val="0"/>
                  <w:vAlign w:val="center"/>
                </w:tcPr>
                <w:p w14:paraId="70F688B1">
                  <w:pPr>
                    <w:widowControl w:val="0"/>
                    <w:jc w:val="both"/>
                    <w:rPr>
                      <w:rFonts w:ascii="Calibri" w:hAnsi="Calibri"/>
                      <w:kern w:val="2"/>
                      <w:sz w:val="21"/>
                      <w:lang w:val="en-US" w:eastAsia="zh-CN" w:bidi="ar-SA"/>
                    </w:rPr>
                  </w:pPr>
                </w:p>
              </w:tc>
              <w:tc>
                <w:tcPr>
                  <w:tcW w:w="0" w:type="auto"/>
                  <w:noWrap w:val="0"/>
                  <w:vAlign w:val="center"/>
                </w:tcPr>
                <w:p w14:paraId="784FEED3">
                  <w:pPr>
                    <w:widowControl w:val="0"/>
                    <w:jc w:val="both"/>
                    <w:rPr>
                      <w:rFonts w:ascii="Calibri" w:hAnsi="Calibri"/>
                      <w:kern w:val="2"/>
                      <w:sz w:val="21"/>
                      <w:lang w:val="en-US" w:eastAsia="zh-CN" w:bidi="ar-SA"/>
                    </w:rPr>
                  </w:pPr>
                </w:p>
              </w:tc>
              <w:tc>
                <w:tcPr>
                  <w:tcW w:w="0" w:type="auto"/>
                  <w:noWrap w:val="0"/>
                  <w:vAlign w:val="center"/>
                </w:tcPr>
                <w:p w14:paraId="452E47F0">
                  <w:pPr>
                    <w:widowControl w:val="0"/>
                    <w:jc w:val="both"/>
                    <w:rPr>
                      <w:rFonts w:ascii="Calibri" w:hAnsi="Calibri"/>
                      <w:kern w:val="2"/>
                      <w:sz w:val="21"/>
                      <w:lang w:val="en-US" w:eastAsia="zh-CN" w:bidi="ar-SA"/>
                    </w:rPr>
                  </w:pPr>
                </w:p>
              </w:tc>
              <w:tc>
                <w:tcPr>
                  <w:tcW w:w="0" w:type="auto"/>
                  <w:noWrap w:val="0"/>
                  <w:vAlign w:val="center"/>
                </w:tcPr>
                <w:p w14:paraId="5895F10F">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混合采样 至少3个混合样</w:t>
                  </w:r>
                </w:p>
              </w:tc>
              <w:tc>
                <w:tcPr>
                  <w:tcW w:w="0" w:type="auto"/>
                  <w:noWrap w:val="0"/>
                  <w:vAlign w:val="center"/>
                </w:tcPr>
                <w:p w14:paraId="2A0AABBD">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1次/年</w:t>
                  </w:r>
                </w:p>
              </w:tc>
              <w:tc>
                <w:tcPr>
                  <w:tcW w:w="900" w:type="pct"/>
                  <w:noWrap w:val="0"/>
                  <w:vAlign w:val="center"/>
                </w:tcPr>
                <w:p w14:paraId="6C538966">
                  <w:pPr>
                    <w:pStyle w:val="8"/>
                    <w:widowControl w:val="0"/>
                    <w:adjustRightInd w:val="0"/>
                    <w:snapToGrid w:val="0"/>
                    <w:jc w:val="center"/>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《生活饮用水标准检验方法 有机物综 合指标》（1.2 耗氧量 碱性高锰酸钾滴定法）（GB/T 5750.7-2022）</w:t>
                  </w:r>
                </w:p>
              </w:tc>
              <w:tc>
                <w:tcPr>
                  <w:tcW w:w="83" w:type="pct"/>
                  <w:noWrap w:val="0"/>
                  <w:vAlign w:val="center"/>
                </w:tcPr>
                <w:p w14:paraId="204A864D">
                  <w:pPr>
                    <w:widowControl w:val="0"/>
                    <w:jc w:val="both"/>
                    <w:rPr>
                      <w:rFonts w:ascii="Calibri" w:hAnsi="Calibri"/>
                      <w:kern w:val="2"/>
                      <w:sz w:val="21"/>
                      <w:lang w:val="en-US" w:eastAsia="zh-CN" w:bidi="ar-SA"/>
                    </w:rPr>
                  </w:pPr>
                </w:p>
              </w:tc>
            </w:tr>
          </w:tbl>
          <w:p w14:paraId="3FF6A2CB"/>
        </w:tc>
      </w:tr>
    </w:tbl>
    <w:p w14:paraId="7C303A5C">
      <w:pPr>
        <w:widowControl w:val="0"/>
        <w:numPr>
          <w:ilvl w:val="0"/>
          <w:numId w:val="0"/>
        </w:numPr>
        <w:jc w:val="both"/>
        <w:rPr>
          <w:rFonts w:hint="default" w:ascii="宋体" w:hAnsi="宋体" w:eastAsia="宋体" w:cs="宋体"/>
          <w:b w:val="0"/>
          <w:bCs w:val="0"/>
          <w:sz w:val="30"/>
          <w:szCs w:val="30"/>
          <w:lang w:val="en-US" w:eastAsia="zh-CN"/>
        </w:rPr>
      </w:pPr>
    </w:p>
    <w:p w14:paraId="1DDCA460">
      <w:pPr>
        <w:widowControl w:val="0"/>
        <w:numPr>
          <w:ilvl w:val="0"/>
          <w:numId w:val="0"/>
        </w:numPr>
        <w:jc w:val="both"/>
        <w:rPr>
          <w:rFonts w:hint="default" w:ascii="宋体" w:hAnsi="宋体" w:eastAsia="宋体" w:cs="宋体"/>
          <w:b w:val="0"/>
          <w:bCs w:val="0"/>
          <w:sz w:val="30"/>
          <w:szCs w:val="30"/>
          <w:lang w:val="en-US" w:eastAsia="zh-CN"/>
        </w:rPr>
      </w:pPr>
    </w:p>
    <w:p w14:paraId="6D0D6FC8">
      <w:pPr>
        <w:widowControl w:val="0"/>
        <w:numPr>
          <w:ilvl w:val="0"/>
          <w:numId w:val="0"/>
        </w:numPr>
        <w:ind w:firstLine="600" w:firstLineChars="200"/>
        <w:jc w:val="both"/>
        <w:rPr>
          <w:rFonts w:hint="default" w:ascii="宋体" w:hAnsi="宋体" w:eastAsia="宋体" w:cs="宋体"/>
          <w:b w:val="0"/>
          <w:bCs w:val="0"/>
          <w:sz w:val="30"/>
          <w:szCs w:val="30"/>
          <w:lang w:val="en-US" w:eastAsia="zh-CN"/>
        </w:rPr>
      </w:pPr>
      <w:r>
        <w:rPr>
          <w:rFonts w:hint="eastAsia" w:ascii="宋体" w:hAnsi="宋体" w:eastAsia="宋体" w:cs="宋体"/>
          <w:b w:val="0"/>
          <w:bCs w:val="0"/>
          <w:sz w:val="30"/>
          <w:szCs w:val="30"/>
          <w:lang w:val="en-US" w:eastAsia="zh-CN"/>
        </w:rPr>
        <w:t>3.台账记录及执行报告</w:t>
      </w:r>
    </w:p>
    <w:p w14:paraId="04A5ED82">
      <w:pPr>
        <w:pStyle w:val="9"/>
        <w:spacing w:before="156" w:beforeLines="50" w:line="360" w:lineRule="auto"/>
        <w:jc w:val="center"/>
        <w:rPr>
          <w:rStyle w:val="6"/>
          <w:rFonts w:ascii="Times New Roman" w:hAnsi="Times New Roman" w:cs="Times New Roman"/>
          <w:b/>
        </w:rPr>
      </w:pPr>
      <w:r>
        <w:rPr>
          <w:rStyle w:val="6"/>
          <w:rFonts w:ascii="Times New Roman" w:hAnsi="Times New Roman" w:cs="Times New Roman"/>
          <w:b/>
        </w:rPr>
        <w:t>表13  环境管理台账记录表</w:t>
      </w:r>
    </w:p>
    <w:tbl>
      <w:tblPr>
        <w:tblStyle w:val="5"/>
        <w:tblW w:w="1403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25"/>
        <w:gridCol w:w="1410"/>
        <w:gridCol w:w="6528"/>
        <w:gridCol w:w="2937"/>
        <w:gridCol w:w="1365"/>
        <w:gridCol w:w="1068"/>
      </w:tblGrid>
      <w:tr w14:paraId="7B2CC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atLeast"/>
          <w:tblHeader/>
          <w:jc w:val="center"/>
        </w:trPr>
        <w:tc>
          <w:tcPr>
            <w:tcW w:w="725" w:type="dxa"/>
            <w:noWrap w:val="0"/>
            <w:vAlign w:val="center"/>
          </w:tcPr>
          <w:p w14:paraId="69950C1D">
            <w:pPr>
              <w:pStyle w:val="9"/>
              <w:adjustRightInd w:val="0"/>
              <w:snapToGrid w:val="0"/>
              <w:jc w:val="center"/>
              <w:rPr>
                <w:rStyle w:val="6"/>
                <w:rFonts w:ascii="黑体" w:hAnsi="黑体" w:eastAsia="黑体" w:cs="Times New Roman"/>
              </w:rPr>
            </w:pPr>
            <w:r>
              <w:rPr>
                <w:rStyle w:val="6"/>
                <w:rFonts w:ascii="黑体" w:hAnsi="黑体" w:eastAsia="黑体" w:cs="Times New Roman"/>
              </w:rPr>
              <w:t>序号</w:t>
            </w:r>
          </w:p>
        </w:tc>
        <w:tc>
          <w:tcPr>
            <w:tcW w:w="1410" w:type="dxa"/>
            <w:noWrap w:val="0"/>
            <w:vAlign w:val="center"/>
          </w:tcPr>
          <w:p w14:paraId="172F0432">
            <w:pPr>
              <w:pStyle w:val="9"/>
              <w:adjustRightInd w:val="0"/>
              <w:snapToGrid w:val="0"/>
              <w:jc w:val="center"/>
              <w:rPr>
                <w:rStyle w:val="6"/>
                <w:rFonts w:hint="eastAsia" w:ascii="黑体" w:hAnsi="黑体" w:eastAsia="黑体" w:cs="Times New Roman"/>
              </w:rPr>
            </w:pPr>
            <w:r>
              <w:rPr>
                <w:rStyle w:val="6"/>
                <w:rFonts w:ascii="黑体" w:hAnsi="黑体" w:eastAsia="黑体" w:cs="Times New Roman"/>
              </w:rPr>
              <w:t>类别</w:t>
            </w:r>
          </w:p>
        </w:tc>
        <w:tc>
          <w:tcPr>
            <w:tcW w:w="6528" w:type="dxa"/>
            <w:noWrap w:val="0"/>
            <w:vAlign w:val="center"/>
          </w:tcPr>
          <w:p w14:paraId="70A194BB">
            <w:pPr>
              <w:pStyle w:val="9"/>
              <w:adjustRightInd w:val="0"/>
              <w:snapToGrid w:val="0"/>
              <w:jc w:val="center"/>
              <w:rPr>
                <w:rStyle w:val="6"/>
                <w:rFonts w:ascii="黑体" w:hAnsi="黑体" w:eastAsia="黑体" w:cs="Times New Roman"/>
              </w:rPr>
            </w:pPr>
            <w:r>
              <w:rPr>
                <w:rStyle w:val="6"/>
                <w:rFonts w:ascii="黑体" w:hAnsi="黑体" w:eastAsia="黑体" w:cs="Times New Roman"/>
              </w:rPr>
              <w:t>记录内容</w:t>
            </w:r>
          </w:p>
        </w:tc>
        <w:tc>
          <w:tcPr>
            <w:tcW w:w="2937" w:type="dxa"/>
            <w:noWrap w:val="0"/>
            <w:vAlign w:val="center"/>
          </w:tcPr>
          <w:p w14:paraId="50AF3950">
            <w:pPr>
              <w:pStyle w:val="9"/>
              <w:adjustRightInd w:val="0"/>
              <w:snapToGrid w:val="0"/>
              <w:jc w:val="center"/>
              <w:rPr>
                <w:rStyle w:val="6"/>
                <w:rFonts w:ascii="黑体" w:hAnsi="黑体" w:eastAsia="黑体" w:cs="Times New Roman"/>
              </w:rPr>
            </w:pPr>
            <w:r>
              <w:rPr>
                <w:rStyle w:val="6"/>
                <w:rFonts w:ascii="黑体" w:hAnsi="黑体" w:eastAsia="黑体" w:cs="Times New Roman"/>
              </w:rPr>
              <w:t>记录频次</w:t>
            </w:r>
          </w:p>
        </w:tc>
        <w:tc>
          <w:tcPr>
            <w:tcW w:w="1365" w:type="dxa"/>
            <w:noWrap w:val="0"/>
            <w:vAlign w:val="center"/>
          </w:tcPr>
          <w:p w14:paraId="318043F8">
            <w:pPr>
              <w:pStyle w:val="9"/>
              <w:adjustRightInd w:val="0"/>
              <w:snapToGrid w:val="0"/>
              <w:jc w:val="center"/>
              <w:rPr>
                <w:rStyle w:val="6"/>
                <w:rFonts w:ascii="黑体" w:hAnsi="黑体" w:eastAsia="黑体" w:cs="Times New Roman"/>
              </w:rPr>
            </w:pPr>
            <w:r>
              <w:rPr>
                <w:rStyle w:val="6"/>
                <w:rFonts w:ascii="黑体" w:hAnsi="黑体" w:eastAsia="黑体" w:cs="Times New Roman"/>
              </w:rPr>
              <w:t>记录形式</w:t>
            </w:r>
          </w:p>
        </w:tc>
        <w:tc>
          <w:tcPr>
            <w:tcW w:w="1068" w:type="dxa"/>
            <w:noWrap w:val="0"/>
            <w:vAlign w:val="center"/>
          </w:tcPr>
          <w:p w14:paraId="4A2023CA">
            <w:pPr>
              <w:pStyle w:val="9"/>
              <w:adjustRightInd w:val="0"/>
              <w:snapToGrid w:val="0"/>
              <w:jc w:val="center"/>
              <w:rPr>
                <w:rStyle w:val="6"/>
                <w:rFonts w:ascii="黑体" w:hAnsi="黑体" w:eastAsia="黑体" w:cs="Times New Roman"/>
              </w:rPr>
            </w:pPr>
            <w:r>
              <w:rPr>
                <w:rStyle w:val="6"/>
                <w:rFonts w:ascii="黑体" w:hAnsi="黑体" w:eastAsia="黑体" w:cs="Times New Roman"/>
              </w:rPr>
              <w:t>其他信息</w:t>
            </w:r>
          </w:p>
        </w:tc>
      </w:tr>
      <w:tr w14:paraId="2AC173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033" w:type="dxa"/>
            <w:gridSpan w:val="6"/>
            <w:noWrap w:val="0"/>
            <w:vAlign w:val="center"/>
          </w:tcPr>
          <w:tbl>
            <w:tblPr>
              <w:tblStyle w:val="5"/>
              <w:tblW w:w="5000" w:type="pct"/>
              <w:tblInd w:w="0" w:type="dxa"/>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396"/>
              <w:gridCol w:w="6525"/>
              <w:gridCol w:w="3030"/>
              <w:gridCol w:w="1275"/>
              <w:gridCol w:w="1053"/>
            </w:tblGrid>
            <w:tr w14:paraId="56EC451D">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259AF5D6">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1</w:t>
                  </w:r>
                </w:p>
              </w:tc>
              <w:tc>
                <w:tcPr>
                  <w:tcW w:w="498" w:type="pct"/>
                  <w:noWrap w:val="0"/>
                  <w:vAlign w:val="center"/>
                </w:tcPr>
                <w:p w14:paraId="3AACBFC3">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基本信息</w:t>
                  </w:r>
                </w:p>
              </w:tc>
              <w:tc>
                <w:tcPr>
                  <w:tcW w:w="2329" w:type="pct"/>
                  <w:noWrap w:val="0"/>
                  <w:vAlign w:val="center"/>
                </w:tcPr>
                <w:p w14:paraId="0DC2DD21">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包括排污单位名称、生产设施基本信息、污染治理设施基本信息。如排污单位工艺、设施调整等发生化的，应在基本信息台账记录表中进行相应修改，并将变化内容进行说明同时纳入执行报告中。</w:t>
                  </w:r>
                </w:p>
                <w:p w14:paraId="435949B8">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1）排污单位基本信息：排污单位名称、生产经营场所地址、行业类别、法定代表人、统一社会信用代码、环保投资情况、环境影响评价审批意见文号、排污权交易文件及排污许可证编号等。</w:t>
                  </w:r>
                </w:p>
                <w:p w14:paraId="434E7751">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2）生产设施基本信息：生产设施（设备）名称、编码、设施规格型号、相关参数《包括参数名称、设计值、单位）、设计生产能力等：</w:t>
                  </w:r>
                </w:p>
                <w:p w14:paraId="69C3615D">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3)污染治理设施基本信息：治理设施名称、编码、设施规格型号、相关参数《包括参数名称、设计值、单位）等。</w:t>
                  </w:r>
                </w:p>
              </w:tc>
              <w:tc>
                <w:tcPr>
                  <w:tcW w:w="1081" w:type="pct"/>
                  <w:noWrap w:val="0"/>
                  <w:vAlign w:val="center"/>
                </w:tcPr>
                <w:p w14:paraId="1AE9FBC8">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对于未发生变化的基本信息，按年记录，1 次/年；对于发生变化的基本信息，在发生变化时记录 1 次</w:t>
                  </w:r>
                </w:p>
              </w:tc>
              <w:tc>
                <w:tcPr>
                  <w:tcW w:w="455" w:type="pct"/>
                  <w:noWrap w:val="0"/>
                  <w:vAlign w:val="center"/>
                </w:tcPr>
                <w:p w14:paraId="37518FE7">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电子台账+纸质台账</w:t>
                  </w:r>
                </w:p>
              </w:tc>
              <w:tc>
                <w:tcPr>
                  <w:tcW w:w="375" w:type="pct"/>
                  <w:noWrap w:val="0"/>
                  <w:vAlign w:val="center"/>
                </w:tcPr>
                <w:p w14:paraId="29332146">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至少保存五年</w:t>
                  </w:r>
                </w:p>
              </w:tc>
            </w:tr>
            <w:tr w14:paraId="04259BA6">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0048F492">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2</w:t>
                  </w:r>
                </w:p>
              </w:tc>
              <w:tc>
                <w:tcPr>
                  <w:tcW w:w="498" w:type="pct"/>
                  <w:noWrap w:val="0"/>
                  <w:vAlign w:val="center"/>
                </w:tcPr>
                <w:p w14:paraId="4EE758B8">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监测记录信息</w:t>
                  </w:r>
                </w:p>
              </w:tc>
              <w:tc>
                <w:tcPr>
                  <w:tcW w:w="2329" w:type="pct"/>
                  <w:noWrap w:val="0"/>
                  <w:vAlign w:val="center"/>
                </w:tcPr>
                <w:p w14:paraId="3917D377">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a）手工监测记录信息</w:t>
                  </w:r>
                </w:p>
                <w:p w14:paraId="57484D0B">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无自动监测要求的废气和废水污染物，排污单位应当按照排污许可证中手工监测要求记录手工监测的日期、时间、污染物排放口和监测点位、监测方法、监测频次、监测仪器及型号、采样方法等，并建立台账记录报告，手工监测记录台账至少应包括附录C的内容。</w:t>
                  </w:r>
                </w:p>
                <w:p w14:paraId="4327AE0D">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c）监测期间生产及污染治理设施运行状况记录信息</w:t>
                  </w:r>
                </w:p>
                <w:p w14:paraId="311CD516">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监测期间生产及污染治理设施运行状况记录信息内容分别见本标准8.1.3和8.1.4中相关规定。</w:t>
                  </w:r>
                </w:p>
              </w:tc>
              <w:tc>
                <w:tcPr>
                  <w:tcW w:w="1081" w:type="pct"/>
                  <w:noWrap w:val="0"/>
                  <w:vAlign w:val="center"/>
                </w:tcPr>
                <w:p w14:paraId="0CE3E2A1">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按照 HJ 819 及各行业自行监测技术指南规定执行。</w:t>
                  </w:r>
                </w:p>
              </w:tc>
              <w:tc>
                <w:tcPr>
                  <w:tcW w:w="455" w:type="pct"/>
                  <w:noWrap w:val="0"/>
                  <w:vAlign w:val="center"/>
                </w:tcPr>
                <w:p w14:paraId="061C515C">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电子台账+纸质台账</w:t>
                  </w:r>
                </w:p>
              </w:tc>
              <w:tc>
                <w:tcPr>
                  <w:tcW w:w="375" w:type="pct"/>
                  <w:noWrap w:val="0"/>
                  <w:vAlign w:val="center"/>
                </w:tcPr>
                <w:p w14:paraId="70AFE856">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至少保存五年</w:t>
                  </w:r>
                </w:p>
              </w:tc>
            </w:tr>
            <w:tr w14:paraId="25D139FF">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3661F91A">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3</w:t>
                  </w:r>
                </w:p>
              </w:tc>
              <w:tc>
                <w:tcPr>
                  <w:tcW w:w="498" w:type="pct"/>
                  <w:noWrap w:val="0"/>
                  <w:vAlign w:val="center"/>
                </w:tcPr>
                <w:p w14:paraId="718C80F0">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其他环境管理信息</w:t>
                  </w:r>
                </w:p>
              </w:tc>
              <w:tc>
                <w:tcPr>
                  <w:tcW w:w="2329" w:type="pct"/>
                  <w:noWrap w:val="0"/>
                  <w:vAlign w:val="center"/>
                </w:tcPr>
                <w:p w14:paraId="2B868C5F">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1、突发环境事件应急：包括应急预案、应急预案备案、应急预案演练、应急预案评估、应急预案修编等。 2、固体废物： 根据《危险废物产生单位管理计划制定指南》建立危险废物台账，参照《危险废物产生单位管理计划制定指南》见附 3，如实记载产生危险废物的种类、数量、流向、贮存、利用处置等信息。 根据《一般工业固体废物管理台账制定指南（试行）》建立一般工业固体废物环境管理台账，参照《一般工业固体废物管理台账制定指南（试行）》附表，如实记录工业固体废物的种类、产生量、流向、贮存、利用、处置等信息。</w:t>
                  </w:r>
                </w:p>
              </w:tc>
              <w:tc>
                <w:tcPr>
                  <w:tcW w:w="1081" w:type="pct"/>
                  <w:noWrap w:val="0"/>
                  <w:vAlign w:val="center"/>
                </w:tcPr>
                <w:p w14:paraId="4BCF94AC">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1、应急预案、预案备案，对于未发生变化的，按年记录，1次/年；应急预案演练、评估、修编，1次/发生1次。 2、固体废物相关信息记录按照1次/批次或者1次/天。</w:t>
                  </w:r>
                </w:p>
              </w:tc>
              <w:tc>
                <w:tcPr>
                  <w:tcW w:w="455" w:type="pct"/>
                  <w:noWrap w:val="0"/>
                  <w:vAlign w:val="center"/>
                </w:tcPr>
                <w:p w14:paraId="12D62144">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电子台账+纸质台账</w:t>
                  </w:r>
                </w:p>
              </w:tc>
              <w:tc>
                <w:tcPr>
                  <w:tcW w:w="375" w:type="pct"/>
                  <w:noWrap w:val="0"/>
                  <w:vAlign w:val="center"/>
                </w:tcPr>
                <w:p w14:paraId="3FC73649">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至少保存五年</w:t>
                  </w:r>
                </w:p>
              </w:tc>
            </w:tr>
            <w:tr w14:paraId="193C86C8">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4EFB7E5B">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4</w:t>
                  </w:r>
                </w:p>
              </w:tc>
              <w:tc>
                <w:tcPr>
                  <w:tcW w:w="498" w:type="pct"/>
                  <w:noWrap w:val="0"/>
                  <w:vAlign w:val="center"/>
                </w:tcPr>
                <w:p w14:paraId="7CB96F3D">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其他环境管理信息</w:t>
                  </w:r>
                </w:p>
              </w:tc>
              <w:tc>
                <w:tcPr>
                  <w:tcW w:w="2329" w:type="pct"/>
                  <w:noWrap w:val="0"/>
                  <w:vAlign w:val="center"/>
                </w:tcPr>
                <w:p w14:paraId="1A8219E1">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a）污染治理设施异常情况</w:t>
                  </w:r>
                </w:p>
                <w:p w14:paraId="51972317">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应记录发生故障的污染治理设施、异常原因、故障期间污染物排放浓度以及应对措施。</w:t>
                  </w:r>
                </w:p>
                <w:p w14:paraId="1A76798F">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b）特殊时段</w:t>
                  </w:r>
                </w:p>
                <w:p w14:paraId="2D4D9EF4">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运行管理信息和污染治理设施运行管理信息）等。应记录重污染天气应对期间和冬防期向等特殊时段的管理要求、执行情况（包括特殊时段生产设施运行管理信息和污染治理设施运行管理信息）等。</w:t>
                  </w:r>
                </w:p>
                <w:p w14:paraId="56A0E09A">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c）非正常工况</w:t>
                  </w:r>
                </w:p>
                <w:p w14:paraId="480BE76A">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无机化学工业排污单位开停炉、设备检修等非正常工况信息按工况期记录，每工况期记录1次，内容应记录非正常工况时间、事件原因、是否报告、应对措施，并按生产设施与污染治理设施填具体情况：生产设能应记录设施名称、编号、产品产量、原辅料消耗量、燃料消耗量等，污染治理设施应记来设施名称、编号、污染因子、排放量、排放浓度等。</w:t>
                  </w:r>
                </w:p>
              </w:tc>
              <w:tc>
                <w:tcPr>
                  <w:tcW w:w="1081" w:type="pct"/>
                  <w:noWrap w:val="0"/>
                  <w:vAlign w:val="center"/>
                </w:tcPr>
                <w:p w14:paraId="5ABC8A7D">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废气无组织污染防治措施管理信息：按日记录，1 次/日。 特殊时段环境管理信息：按照 4.4.1-4.4.4 规定频次记录；对于停产或错峰生产的，原则 上仅对停产或错峰生产的起止日期各记录 1 次。 其他信息：依据法律法规、标准规范或实际生产运行规律等确定记录频次</w:t>
                  </w:r>
                </w:p>
              </w:tc>
              <w:tc>
                <w:tcPr>
                  <w:tcW w:w="455" w:type="pct"/>
                  <w:noWrap w:val="0"/>
                  <w:vAlign w:val="center"/>
                </w:tcPr>
                <w:p w14:paraId="147171EA">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电子台账+纸质台账</w:t>
                  </w:r>
                </w:p>
              </w:tc>
              <w:tc>
                <w:tcPr>
                  <w:tcW w:w="375" w:type="pct"/>
                  <w:noWrap w:val="0"/>
                  <w:vAlign w:val="center"/>
                </w:tcPr>
                <w:p w14:paraId="24F388C0">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至少保存五年</w:t>
                  </w:r>
                </w:p>
              </w:tc>
            </w:tr>
            <w:tr w14:paraId="54D5F907">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29FC2A39">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5</w:t>
                  </w:r>
                </w:p>
              </w:tc>
              <w:tc>
                <w:tcPr>
                  <w:tcW w:w="498" w:type="pct"/>
                  <w:noWrap w:val="0"/>
                  <w:vAlign w:val="center"/>
                </w:tcPr>
                <w:p w14:paraId="2405BE16">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生产设施运行管理信息</w:t>
                  </w:r>
                </w:p>
              </w:tc>
              <w:tc>
                <w:tcPr>
                  <w:tcW w:w="2329" w:type="pct"/>
                  <w:noWrap w:val="0"/>
                  <w:vAlign w:val="center"/>
                </w:tcPr>
                <w:p w14:paraId="78AB601A">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排污单位应定期记录生产设施运行状况并留档保存，应按班次记录，至少包括以下内容；</w:t>
                  </w:r>
                </w:p>
                <w:p w14:paraId="2EDD1735">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1）运行状态：开始时间，结束时间，是否按照生产要求正常运行；</w:t>
                  </w:r>
                </w:p>
                <w:p w14:paraId="40B4D7A9">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2）生产负荷：实际生产能力与设计生产能力之比，设计生产能力取最大设计值；</w:t>
                  </w:r>
                </w:p>
                <w:p w14:paraId="1E7C7378">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3）产品产量：记录统计时段内主要产品产量；</w:t>
                  </w:r>
                </w:p>
                <w:p w14:paraId="254866C1">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4）原辅料和燃料，记录名称、来源地、种类、用量、有毒有害物质成分及占比、是否为危险化学品。</w:t>
                  </w:r>
                </w:p>
              </w:tc>
              <w:tc>
                <w:tcPr>
                  <w:tcW w:w="1081" w:type="pct"/>
                  <w:noWrap w:val="0"/>
                  <w:vAlign w:val="center"/>
                </w:tcPr>
                <w:p w14:paraId="34AF45EF">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a）正常工况： 1）运行状态：一般按日或批次记录，1 次/日或批次。 2）生产负荷：一般按日或批次记录，1 次/日或批次。 3）产品产量：连续生产的，按日记录，1 次/日。非连续生产的，按照生产周期记录， 1 次/周期；周期小于 1 天的，按日记录，1 次/日。 4）原辅料：按照采购批次记录，1 次/批。 5）燃料：按照采购批次记录，1 次/批。 b）非正常工况：按照工况期记录，1 次/工况期。</w:t>
                  </w:r>
                </w:p>
              </w:tc>
              <w:tc>
                <w:tcPr>
                  <w:tcW w:w="455" w:type="pct"/>
                  <w:noWrap w:val="0"/>
                  <w:vAlign w:val="center"/>
                </w:tcPr>
                <w:p w14:paraId="56AF635E">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电子台账+纸质台账</w:t>
                  </w:r>
                </w:p>
              </w:tc>
              <w:tc>
                <w:tcPr>
                  <w:tcW w:w="375" w:type="pct"/>
                  <w:noWrap w:val="0"/>
                  <w:vAlign w:val="center"/>
                </w:tcPr>
                <w:p w14:paraId="03CF152E">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至少保存五年</w:t>
                  </w:r>
                </w:p>
              </w:tc>
            </w:tr>
            <w:tr w14:paraId="37FD3915">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00C3BF2C">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6</w:t>
                  </w:r>
                </w:p>
              </w:tc>
              <w:tc>
                <w:tcPr>
                  <w:tcW w:w="498" w:type="pct"/>
                  <w:noWrap w:val="0"/>
                  <w:vAlign w:val="center"/>
                </w:tcPr>
                <w:p w14:paraId="1D15F50D">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污染防治设施运行管理信息</w:t>
                  </w:r>
                </w:p>
              </w:tc>
              <w:tc>
                <w:tcPr>
                  <w:tcW w:w="2329" w:type="pct"/>
                  <w:noWrap w:val="0"/>
                  <w:vAlign w:val="center"/>
                </w:tcPr>
                <w:p w14:paraId="41DA7808">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包括废气污染防治设施的运行管理信息，至少记录以下内容：</w:t>
                  </w:r>
                </w:p>
                <w:p w14:paraId="1BE60356">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a）有组织废气治理设施</w:t>
                  </w:r>
                </w:p>
                <w:p w14:paraId="22D34DED">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应记录环保设施废气处理能力（立方米/小时）、运行参数（包括运行工况等）、废气排放量、药剂使用量及运行费用等。</w:t>
                  </w:r>
                </w:p>
                <w:p w14:paraId="050B048C">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b）无组织废气治理设施</w:t>
                  </w:r>
                </w:p>
                <w:p w14:paraId="71F7D883">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应记录原辅料储库、燃料储库、成品库、物料输送系统等无组织废气污染治理措施相应的运行、维护、管理等。</w:t>
                  </w:r>
                </w:p>
                <w:p w14:paraId="69228247">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c）确认污染防治设施运行管理信息要求—防渗漏要求是否完整。</w:t>
                  </w:r>
                </w:p>
                <w:p w14:paraId="47662571">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d）确认污染防治设施运行管理信息要求—防泄漏要求是否完整。</w:t>
                  </w:r>
                </w:p>
              </w:tc>
              <w:tc>
                <w:tcPr>
                  <w:tcW w:w="1081" w:type="pct"/>
                  <w:noWrap w:val="0"/>
                  <w:vAlign w:val="center"/>
                </w:tcPr>
                <w:p w14:paraId="43518F47">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a）正常情况： 1）运行情况：按日记录，1 次/日。 2）主要药剂添加情况：按日或批次记录，1 次/日或批次。 3）DCS 曲线图：按月记录，1 次/月。 b）异常情况：按照异常情况期记录，1 次/异常情况</w:t>
                  </w:r>
                </w:p>
              </w:tc>
              <w:tc>
                <w:tcPr>
                  <w:tcW w:w="455" w:type="pct"/>
                  <w:noWrap w:val="0"/>
                  <w:vAlign w:val="center"/>
                </w:tcPr>
                <w:p w14:paraId="54450536">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电子台账+纸质台账</w:t>
                  </w:r>
                </w:p>
              </w:tc>
              <w:tc>
                <w:tcPr>
                  <w:tcW w:w="375" w:type="pct"/>
                  <w:noWrap w:val="0"/>
                  <w:vAlign w:val="center"/>
                </w:tcPr>
                <w:p w14:paraId="0F0BE6AD">
                  <w:pPr>
                    <w:pStyle w:val="9"/>
                    <w:widowControl w:val="0"/>
                    <w:adjustRightInd w:val="0"/>
                    <w:snapToGrid w:val="0"/>
                    <w:jc w:val="both"/>
                    <w:rPr>
                      <w:rStyle w:val="6"/>
                      <w:rFonts w:ascii="Times New Roman" w:hAnsi="Times New Roman" w:eastAsia="宋体" w:cs="Times New Roman"/>
                      <w:kern w:val="2"/>
                      <w:sz w:val="21"/>
                      <w:lang w:val="en-US" w:eastAsia="zh-CN" w:bidi="ar-SA"/>
                    </w:rPr>
                  </w:pPr>
                  <w:r>
                    <w:rPr>
                      <w:rStyle w:val="6"/>
                      <w:rFonts w:ascii="Times New Roman" w:hAnsi="Times New Roman" w:eastAsia="宋体" w:cs="Times New Roman"/>
                      <w:kern w:val="2"/>
                      <w:sz w:val="21"/>
                      <w:lang w:val="en-US" w:eastAsia="zh-CN" w:bidi="ar-SA"/>
                    </w:rPr>
                    <w:t>至少保存五年</w:t>
                  </w:r>
                </w:p>
              </w:tc>
            </w:tr>
          </w:tbl>
          <w:p w14:paraId="2B69F170"/>
        </w:tc>
      </w:tr>
    </w:tbl>
    <w:p w14:paraId="379B8A02">
      <w:pPr>
        <w:pStyle w:val="2"/>
        <w:ind w:firstLine="602" w:firstLineChars="200"/>
        <w:jc w:val="left"/>
        <w:rPr>
          <w:rFonts w:ascii="宋体" w:hAnsi="宋体" w:eastAsia="宋体" w:cs="宋体"/>
          <w:b/>
          <w:i w:val="0"/>
          <w:sz w:val="30"/>
        </w:rPr>
      </w:pPr>
      <w:bookmarkStart w:id="0" w:name="_Toc256000078"/>
      <w:r>
        <w:rPr>
          <w:rFonts w:ascii="宋体" w:hAnsi="宋体" w:eastAsia="宋体" w:cs="宋体"/>
          <w:b/>
          <w:i w:val="0"/>
          <w:sz w:val="30"/>
        </w:rPr>
        <w:t>执行（守法）报告</w:t>
      </w:r>
      <w:bookmarkEnd w:id="0"/>
    </w:p>
    <w:p w14:paraId="1E768BF1">
      <w:pPr>
        <w:pStyle w:val="10"/>
        <w:spacing w:before="156" w:beforeLines="50" w:line="360" w:lineRule="auto"/>
        <w:jc w:val="center"/>
        <w:rPr>
          <w:rStyle w:val="6"/>
          <w:rFonts w:ascii="Times New Roman" w:hAnsi="Times New Roman" w:cs="Times New Roman"/>
          <w:b/>
        </w:rPr>
      </w:pPr>
      <w:r>
        <w:rPr>
          <w:rStyle w:val="6"/>
          <w:rFonts w:ascii="Times New Roman" w:hAnsi="Times New Roman" w:cs="Times New Roman"/>
          <w:b/>
        </w:rPr>
        <w:t>表14  执行（守法）报告信息表</w:t>
      </w:r>
    </w:p>
    <w:tbl>
      <w:tblPr>
        <w:tblStyle w:val="5"/>
        <w:tblW w:w="1403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26"/>
        <w:gridCol w:w="1580"/>
        <w:gridCol w:w="6946"/>
        <w:gridCol w:w="2033"/>
        <w:gridCol w:w="2748"/>
      </w:tblGrid>
      <w:tr w14:paraId="11020B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atLeast"/>
          <w:tblHeader/>
          <w:jc w:val="center"/>
        </w:trPr>
        <w:tc>
          <w:tcPr>
            <w:tcW w:w="726" w:type="dxa"/>
            <w:noWrap w:val="0"/>
            <w:vAlign w:val="center"/>
          </w:tcPr>
          <w:p w14:paraId="6056E2BF">
            <w:pPr>
              <w:pStyle w:val="10"/>
              <w:adjustRightInd w:val="0"/>
              <w:snapToGrid w:val="0"/>
              <w:jc w:val="center"/>
              <w:rPr>
                <w:rStyle w:val="6"/>
                <w:rFonts w:ascii="黑体" w:hAnsi="黑体" w:eastAsia="黑体" w:cs="Times New Roman"/>
              </w:rPr>
            </w:pPr>
            <w:r>
              <w:rPr>
                <w:rStyle w:val="6"/>
                <w:rFonts w:hint="eastAsia" w:ascii="黑体" w:hAnsi="黑体" w:eastAsia="黑体" w:cs="Times New Roman"/>
              </w:rPr>
              <w:t>序号</w:t>
            </w:r>
          </w:p>
        </w:tc>
        <w:tc>
          <w:tcPr>
            <w:tcW w:w="1580" w:type="dxa"/>
            <w:noWrap w:val="0"/>
            <w:vAlign w:val="center"/>
          </w:tcPr>
          <w:p w14:paraId="3E8D810D">
            <w:pPr>
              <w:pStyle w:val="10"/>
              <w:adjustRightInd w:val="0"/>
              <w:snapToGrid w:val="0"/>
              <w:jc w:val="center"/>
              <w:rPr>
                <w:rStyle w:val="6"/>
                <w:rFonts w:hint="eastAsia" w:ascii="黑体" w:hAnsi="黑体" w:eastAsia="黑体" w:cs="Times New Roman"/>
              </w:rPr>
            </w:pPr>
            <w:r>
              <w:rPr>
                <w:rStyle w:val="6"/>
                <w:rFonts w:hint="eastAsia" w:ascii="黑体" w:hAnsi="黑体" w:eastAsia="黑体" w:cs="Times New Roman"/>
              </w:rPr>
              <w:t>上报频次</w:t>
            </w:r>
          </w:p>
        </w:tc>
        <w:tc>
          <w:tcPr>
            <w:tcW w:w="6946" w:type="dxa"/>
            <w:noWrap w:val="0"/>
            <w:vAlign w:val="center"/>
          </w:tcPr>
          <w:p w14:paraId="7BB71E11">
            <w:pPr>
              <w:pStyle w:val="10"/>
              <w:adjustRightInd w:val="0"/>
              <w:snapToGrid w:val="0"/>
              <w:jc w:val="center"/>
              <w:rPr>
                <w:rStyle w:val="6"/>
                <w:rFonts w:ascii="黑体" w:hAnsi="黑体" w:eastAsia="黑体" w:cs="Times New Roman"/>
              </w:rPr>
            </w:pPr>
            <w:r>
              <w:rPr>
                <w:rStyle w:val="6"/>
                <w:rFonts w:hint="eastAsia" w:ascii="黑体" w:hAnsi="黑体" w:eastAsia="黑体" w:cs="Times New Roman"/>
              </w:rPr>
              <w:t>主要内容</w:t>
            </w:r>
          </w:p>
        </w:tc>
        <w:tc>
          <w:tcPr>
            <w:tcW w:w="2033" w:type="dxa"/>
            <w:noWrap w:val="0"/>
            <w:vAlign w:val="center"/>
          </w:tcPr>
          <w:p w14:paraId="269ECA90">
            <w:pPr>
              <w:pStyle w:val="10"/>
              <w:adjustRightInd w:val="0"/>
              <w:snapToGrid w:val="0"/>
              <w:jc w:val="center"/>
              <w:rPr>
                <w:rStyle w:val="6"/>
                <w:rFonts w:hint="eastAsia" w:ascii="黑体" w:hAnsi="黑体" w:eastAsia="黑体" w:cs="Times New Roman"/>
              </w:rPr>
            </w:pPr>
            <w:r>
              <w:rPr>
                <w:rStyle w:val="6"/>
                <w:rFonts w:hint="eastAsia" w:ascii="黑体" w:hAnsi="黑体" w:eastAsia="黑体" w:cs="Times New Roman"/>
              </w:rPr>
              <w:t>上报截止时间</w:t>
            </w:r>
          </w:p>
        </w:tc>
        <w:tc>
          <w:tcPr>
            <w:tcW w:w="2748" w:type="dxa"/>
            <w:noWrap w:val="0"/>
            <w:vAlign w:val="center"/>
          </w:tcPr>
          <w:p w14:paraId="1B67ECE3">
            <w:pPr>
              <w:pStyle w:val="10"/>
              <w:adjustRightInd w:val="0"/>
              <w:snapToGrid w:val="0"/>
              <w:jc w:val="center"/>
              <w:rPr>
                <w:rStyle w:val="6"/>
                <w:rFonts w:ascii="黑体" w:hAnsi="黑体" w:eastAsia="黑体" w:cs="Times New Roman"/>
              </w:rPr>
            </w:pPr>
            <w:r>
              <w:rPr>
                <w:rStyle w:val="6"/>
                <w:rFonts w:hint="eastAsia" w:ascii="黑体" w:hAnsi="黑体" w:eastAsia="黑体" w:cs="Times New Roman"/>
              </w:rPr>
              <w:t>其他信息</w:t>
            </w:r>
          </w:p>
        </w:tc>
      </w:tr>
      <w:tr w14:paraId="129A84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033" w:type="dxa"/>
            <w:gridSpan w:val="5"/>
            <w:noWrap w:val="0"/>
            <w:vAlign w:val="center"/>
          </w:tcPr>
          <w:tbl>
            <w:tblPr>
              <w:tblStyle w:val="5"/>
              <w:tblW w:w="5000" w:type="pct"/>
              <w:tblInd w:w="0" w:type="dxa"/>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579"/>
              <w:gridCol w:w="6931"/>
              <w:gridCol w:w="2006"/>
              <w:gridCol w:w="2763"/>
            </w:tblGrid>
            <w:tr w14:paraId="462845C1">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6344B364">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w:t>
                  </w:r>
                </w:p>
              </w:tc>
              <w:tc>
                <w:tcPr>
                  <w:tcW w:w="0" w:type="auto"/>
                  <w:noWrap w:val="0"/>
                  <w:vAlign w:val="top"/>
                </w:tcPr>
                <w:p w14:paraId="6CC7D07F">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年报</w:t>
                  </w:r>
                </w:p>
              </w:tc>
              <w:tc>
                <w:tcPr>
                  <w:tcW w:w="0" w:type="auto"/>
                  <w:noWrap w:val="0"/>
                  <w:vAlign w:val="top"/>
                </w:tcPr>
                <w:p w14:paraId="25414CD8">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排污单位基本情况；2、污染防治设施运行情况：3、自行监测执行情况：4、环境管理台账执行情况；5、实际排放情况及合规判定分析；6、信息公开情况；7、排污单位内部环境管理体系建设与运行情况：8、其他排污许可证规定的内容执行情况；9、其他需要说明的问题：10、结论；11、附图附件等。</w:t>
                  </w:r>
                </w:p>
              </w:tc>
              <w:tc>
                <w:tcPr>
                  <w:tcW w:w="716" w:type="pct"/>
                  <w:noWrap w:val="0"/>
                  <w:vAlign w:val="top"/>
                </w:tcPr>
                <w:p w14:paraId="0EF833AB">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01-15</w:t>
                  </w:r>
                </w:p>
              </w:tc>
              <w:tc>
                <w:tcPr>
                  <w:tcW w:w="986" w:type="pct"/>
                  <w:noWrap w:val="0"/>
                  <w:vAlign w:val="top"/>
                </w:tcPr>
                <w:p w14:paraId="49B85BB4">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1.具体要求按照《排污单位环境管理台账及排污许可证执行报告技术规范 总则（试行）( HJ944-2018 )》实施。2.如有其他紧急需要上报的信息企业应配合生态环境部门完成上报。</w:t>
                  </w:r>
                </w:p>
              </w:tc>
            </w:tr>
            <w:tr w14:paraId="5BC0ADF1">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25CA0B18">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w:t>
                  </w:r>
                </w:p>
              </w:tc>
              <w:tc>
                <w:tcPr>
                  <w:tcW w:w="0" w:type="auto"/>
                  <w:noWrap w:val="0"/>
                  <w:vAlign w:val="top"/>
                </w:tcPr>
                <w:p w14:paraId="367390E3">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季报</w:t>
                  </w:r>
                </w:p>
              </w:tc>
              <w:tc>
                <w:tcPr>
                  <w:tcW w:w="0" w:type="auto"/>
                  <w:noWrap w:val="0"/>
                  <w:vAlign w:val="top"/>
                </w:tcPr>
                <w:p w14:paraId="5C0536A3">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1、污染物实际排放浓度和排放量；2、合规判定分析3、超标排放或污染防治设施异常情况说明等4、各月度生产小时数、主要产品及产量、主要燃料及其消耗量</w:t>
                  </w:r>
                </w:p>
              </w:tc>
              <w:tc>
                <w:tcPr>
                  <w:tcW w:w="716" w:type="pct"/>
                  <w:noWrap w:val="0"/>
                  <w:vAlign w:val="top"/>
                </w:tcPr>
                <w:p w14:paraId="09C4BFA4">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第一季度：04-15;第二季度：07-15;第三季度：10-15</w:t>
                  </w:r>
                </w:p>
              </w:tc>
              <w:tc>
                <w:tcPr>
                  <w:tcW w:w="986" w:type="pct"/>
                  <w:noWrap w:val="0"/>
                  <w:vAlign w:val="top"/>
                </w:tcPr>
                <w:p w14:paraId="5A6F7418">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1.执行报告详细要求按照《排污许可证申请与核发技术规范总则》中“执行报告编制规范”执行；</w:t>
                  </w:r>
                </w:p>
                <w:p w14:paraId="0498E651">
                  <w:pPr>
                    <w:pStyle w:val="10"/>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2.如有其他紧急需要上报的信息企业应配合生态环境部门完成上报。</w:t>
                  </w:r>
                </w:p>
              </w:tc>
            </w:tr>
          </w:tbl>
          <w:p w14:paraId="3EC52D1C"/>
        </w:tc>
      </w:tr>
    </w:tbl>
    <w:p w14:paraId="0BC0D39D">
      <w:pPr>
        <w:pStyle w:val="2"/>
        <w:ind w:firstLine="602" w:firstLineChars="200"/>
        <w:jc w:val="left"/>
        <w:rPr>
          <w:rFonts w:ascii="宋体" w:hAnsi="宋体" w:eastAsia="宋体" w:cs="宋体"/>
          <w:b/>
          <w:i w:val="0"/>
          <w:sz w:val="30"/>
        </w:rPr>
      </w:pPr>
      <w:bookmarkStart w:id="1" w:name="_Toc256000079"/>
      <w:r>
        <w:rPr>
          <w:rFonts w:ascii="宋体" w:hAnsi="宋体" w:eastAsia="宋体" w:cs="宋体"/>
          <w:b/>
          <w:i w:val="0"/>
          <w:sz w:val="30"/>
        </w:rPr>
        <w:t>信息公开</w:t>
      </w:r>
      <w:bookmarkEnd w:id="1"/>
    </w:p>
    <w:p w14:paraId="2772BF0B">
      <w:pPr>
        <w:pStyle w:val="11"/>
        <w:spacing w:before="156" w:beforeLines="50" w:line="360" w:lineRule="auto"/>
        <w:jc w:val="center"/>
        <w:rPr>
          <w:rStyle w:val="6"/>
          <w:rFonts w:ascii="Times New Roman" w:hAnsi="Times New Roman" w:cs="Times New Roman"/>
          <w:b/>
        </w:rPr>
      </w:pPr>
      <w:r>
        <w:rPr>
          <w:rStyle w:val="6"/>
          <w:rFonts w:ascii="Times New Roman" w:hAnsi="Times New Roman" w:cs="Times New Roman"/>
          <w:b/>
        </w:rPr>
        <w:t>表15  信息公开表</w:t>
      </w:r>
    </w:p>
    <w:tbl>
      <w:tblPr>
        <w:tblStyle w:val="5"/>
        <w:tblW w:w="1403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726"/>
        <w:gridCol w:w="2802"/>
        <w:gridCol w:w="3034"/>
        <w:gridCol w:w="4738"/>
        <w:gridCol w:w="2733"/>
      </w:tblGrid>
      <w:tr w14:paraId="5CA036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atLeast"/>
          <w:tblHeader/>
          <w:jc w:val="center"/>
        </w:trPr>
        <w:tc>
          <w:tcPr>
            <w:tcW w:w="726" w:type="dxa"/>
            <w:noWrap w:val="0"/>
            <w:vAlign w:val="center"/>
          </w:tcPr>
          <w:p w14:paraId="5790525F">
            <w:pPr>
              <w:pStyle w:val="11"/>
              <w:adjustRightInd w:val="0"/>
              <w:snapToGrid w:val="0"/>
              <w:jc w:val="center"/>
              <w:rPr>
                <w:rStyle w:val="6"/>
                <w:rFonts w:ascii="黑体" w:hAnsi="黑体" w:eastAsia="黑体" w:cs="Times New Roman"/>
              </w:rPr>
            </w:pPr>
            <w:r>
              <w:rPr>
                <w:rStyle w:val="6"/>
                <w:rFonts w:ascii="黑体" w:hAnsi="黑体" w:eastAsia="黑体" w:cs="Times New Roman"/>
              </w:rPr>
              <w:t>序号</w:t>
            </w:r>
          </w:p>
        </w:tc>
        <w:tc>
          <w:tcPr>
            <w:tcW w:w="2802" w:type="dxa"/>
            <w:noWrap w:val="0"/>
            <w:vAlign w:val="center"/>
          </w:tcPr>
          <w:p w14:paraId="0490DBB6">
            <w:pPr>
              <w:pStyle w:val="11"/>
              <w:adjustRightInd w:val="0"/>
              <w:snapToGrid w:val="0"/>
              <w:jc w:val="center"/>
              <w:rPr>
                <w:rStyle w:val="6"/>
                <w:rFonts w:ascii="黑体" w:hAnsi="黑体" w:eastAsia="黑体" w:cs="Times New Roman"/>
              </w:rPr>
            </w:pPr>
            <w:r>
              <w:rPr>
                <w:rStyle w:val="6"/>
                <w:rFonts w:ascii="黑体" w:hAnsi="黑体" w:eastAsia="黑体" w:cs="Times New Roman"/>
              </w:rPr>
              <w:t>公开方式</w:t>
            </w:r>
          </w:p>
        </w:tc>
        <w:tc>
          <w:tcPr>
            <w:tcW w:w="3034" w:type="dxa"/>
            <w:noWrap w:val="0"/>
            <w:vAlign w:val="center"/>
          </w:tcPr>
          <w:p w14:paraId="3D82372F">
            <w:pPr>
              <w:pStyle w:val="11"/>
              <w:adjustRightInd w:val="0"/>
              <w:snapToGrid w:val="0"/>
              <w:jc w:val="center"/>
              <w:rPr>
                <w:rStyle w:val="6"/>
                <w:rFonts w:ascii="黑体" w:hAnsi="黑体" w:eastAsia="黑体" w:cs="Times New Roman"/>
              </w:rPr>
            </w:pPr>
            <w:r>
              <w:rPr>
                <w:rStyle w:val="6"/>
                <w:rFonts w:ascii="黑体" w:hAnsi="黑体" w:eastAsia="黑体" w:cs="Times New Roman"/>
              </w:rPr>
              <w:t>时间节点</w:t>
            </w:r>
          </w:p>
        </w:tc>
        <w:tc>
          <w:tcPr>
            <w:tcW w:w="4738" w:type="dxa"/>
            <w:noWrap w:val="0"/>
            <w:vAlign w:val="center"/>
          </w:tcPr>
          <w:p w14:paraId="3DD41EAD">
            <w:pPr>
              <w:pStyle w:val="11"/>
              <w:adjustRightInd w:val="0"/>
              <w:snapToGrid w:val="0"/>
              <w:jc w:val="center"/>
              <w:rPr>
                <w:rStyle w:val="6"/>
                <w:rFonts w:ascii="黑体" w:hAnsi="黑体" w:eastAsia="黑体" w:cs="Times New Roman"/>
              </w:rPr>
            </w:pPr>
            <w:r>
              <w:rPr>
                <w:rStyle w:val="6"/>
                <w:rFonts w:ascii="黑体" w:hAnsi="黑体" w:eastAsia="黑体" w:cs="Times New Roman"/>
              </w:rPr>
              <w:t>公开内容</w:t>
            </w:r>
          </w:p>
        </w:tc>
        <w:tc>
          <w:tcPr>
            <w:tcW w:w="2733" w:type="dxa"/>
            <w:noWrap w:val="0"/>
            <w:vAlign w:val="center"/>
          </w:tcPr>
          <w:p w14:paraId="4375C5C8">
            <w:pPr>
              <w:pStyle w:val="11"/>
              <w:adjustRightInd w:val="0"/>
              <w:snapToGrid w:val="0"/>
              <w:jc w:val="center"/>
              <w:rPr>
                <w:rStyle w:val="6"/>
                <w:rFonts w:ascii="黑体" w:hAnsi="黑体" w:eastAsia="黑体" w:cs="Times New Roman"/>
              </w:rPr>
            </w:pPr>
            <w:r>
              <w:rPr>
                <w:rStyle w:val="6"/>
                <w:rFonts w:ascii="黑体" w:hAnsi="黑体" w:eastAsia="黑体" w:cs="Times New Roman"/>
              </w:rPr>
              <w:t>其他信息</w:t>
            </w:r>
          </w:p>
        </w:tc>
      </w:tr>
      <w:tr w14:paraId="2000B7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14033" w:type="dxa"/>
            <w:gridSpan w:val="5"/>
            <w:noWrap w:val="0"/>
            <w:vAlign w:val="center"/>
          </w:tcPr>
          <w:tbl>
            <w:tblPr>
              <w:tblStyle w:val="5"/>
              <w:tblW w:w="5000" w:type="pct"/>
              <w:tblInd w:w="0" w:type="dxa"/>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2795"/>
              <w:gridCol w:w="3027"/>
              <w:gridCol w:w="4739"/>
              <w:gridCol w:w="2718"/>
            </w:tblGrid>
            <w:tr w14:paraId="71C87EB1">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4FB5726D">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w:t>
                  </w:r>
                </w:p>
              </w:tc>
              <w:tc>
                <w:tcPr>
                  <w:tcW w:w="0" w:type="auto"/>
                  <w:noWrap w:val="0"/>
                  <w:vAlign w:val="center"/>
                </w:tcPr>
                <w:p w14:paraId="6AB83469">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在青海省重点排污单位自行监测信息发布平台或海西州生态环境保护局门户网站或者地方生态环境保护部门门户网站或者企业门户网站进行公开</w:t>
                  </w:r>
                </w:p>
              </w:tc>
              <w:tc>
                <w:tcPr>
                  <w:tcW w:w="0" w:type="auto"/>
                  <w:noWrap w:val="0"/>
                  <w:vAlign w:val="center"/>
                </w:tcPr>
                <w:p w14:paraId="6C8FD8E8">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及时公开，及时更新。</w:t>
                  </w:r>
                </w:p>
              </w:tc>
              <w:tc>
                <w:tcPr>
                  <w:tcW w:w="1692" w:type="pct"/>
                  <w:noWrap w:val="0"/>
                  <w:vAlign w:val="center"/>
                </w:tcPr>
                <w:p w14:paraId="7A8E638C">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基础信息，包括单位名称、统一社会信用代码、法定代表人、生产地址、联系方式，以及生产经营和管理服务的主要内容、产品及规模等；（2）排污信息，包括主要污染物及特征污染物的名称、排放方式、排放口数量和分布情况、排放浓度和总量、超标情况，以及执行的污染物排放标准、核定的排放总量；（3）防治污染设施的建设和运行情况；（4）建设项目环境影响评价及其他环境保护行政许可情况；（5）突发环境事件应急预案；（6）季度及年度排污许可证执行报告中的相关内容；（7）列入国家重点监控企业名单的重点排污单位还应当公开其环境自行监测方案；（8）其他应当公开的环境信息。</w:t>
                  </w:r>
                </w:p>
              </w:tc>
              <w:tc>
                <w:tcPr>
                  <w:tcW w:w="970" w:type="pct"/>
                  <w:noWrap w:val="0"/>
                  <w:vAlign w:val="center"/>
                </w:tcPr>
                <w:p w14:paraId="6380E764">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公开要求按照《企业环境信息依法披露管理办法》和《排污许可管理条例》执行。</w:t>
                  </w:r>
                </w:p>
              </w:tc>
            </w:tr>
            <w:tr w14:paraId="4D60607E">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622D8225">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2</w:t>
                  </w:r>
                </w:p>
              </w:tc>
              <w:tc>
                <w:tcPr>
                  <w:tcW w:w="0" w:type="auto"/>
                  <w:noWrap w:val="0"/>
                  <w:vAlign w:val="center"/>
                </w:tcPr>
                <w:p w14:paraId="52156147">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1.国家排污许可证信息公开系统；2.其他便于公众知晓的方式。</w:t>
                  </w:r>
                </w:p>
              </w:tc>
              <w:tc>
                <w:tcPr>
                  <w:tcW w:w="0" w:type="auto"/>
                  <w:noWrap w:val="0"/>
                  <w:vAlign w:val="center"/>
                </w:tcPr>
                <w:p w14:paraId="7F3495B2">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及时公开，及时更新。</w:t>
                  </w:r>
                </w:p>
              </w:tc>
              <w:tc>
                <w:tcPr>
                  <w:tcW w:w="1692" w:type="pct"/>
                  <w:noWrap w:val="0"/>
                  <w:vAlign w:val="center"/>
                </w:tcPr>
                <w:p w14:paraId="4966F3F2">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1、企业基本信息2、检测机构信息3、废气排放设备信息4、废气、废水、噪声监测点5、自行监测方案</w:t>
                  </w:r>
                </w:p>
              </w:tc>
              <w:tc>
                <w:tcPr>
                  <w:tcW w:w="970" w:type="pct"/>
                  <w:noWrap w:val="0"/>
                  <w:vAlign w:val="center"/>
                </w:tcPr>
                <w:p w14:paraId="689B9DFC">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纳入省级或州级或县级的重点排污单位</w:t>
                  </w:r>
                </w:p>
              </w:tc>
            </w:tr>
            <w:tr w14:paraId="324441EB">
              <w:tblPrEx>
                <w:tblBorders>
                  <w:top w:val="none" w:color="FF0000" w:sz="0" w:space="0"/>
                  <w:left w:val="none" w:color="FF0000" w:sz="0" w:space="0"/>
                  <w:bottom w:val="none" w:color="FF0000" w:sz="0" w:space="0"/>
                  <w:right w:val="none" w:color="FF0000" w:sz="0"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396D1167">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3</w:t>
                  </w:r>
                </w:p>
              </w:tc>
              <w:tc>
                <w:tcPr>
                  <w:tcW w:w="0" w:type="auto"/>
                  <w:noWrap w:val="0"/>
                  <w:vAlign w:val="center"/>
                </w:tcPr>
                <w:p w14:paraId="1A7DAC7F">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全国污染源监测信息管理和共享平台     http：//123.127.175.61:6375/eap/Loginout.action</w:t>
                  </w:r>
                </w:p>
              </w:tc>
              <w:tc>
                <w:tcPr>
                  <w:tcW w:w="0" w:type="auto"/>
                  <w:noWrap w:val="0"/>
                  <w:vAlign w:val="center"/>
                </w:tcPr>
                <w:p w14:paraId="0A31FD41">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发证三个月内填录自行监测方案，变更后及时更新，产生监测数据需在5日内完成录入。</w:t>
                  </w:r>
                </w:p>
              </w:tc>
              <w:tc>
                <w:tcPr>
                  <w:tcW w:w="1692" w:type="pct"/>
                  <w:noWrap w:val="0"/>
                  <w:vAlign w:val="center"/>
                </w:tcPr>
                <w:p w14:paraId="12FDB1FC">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自行监测方案、监测报告数据、不监测原因等。</w:t>
                  </w:r>
                </w:p>
              </w:tc>
              <w:tc>
                <w:tcPr>
                  <w:tcW w:w="970" w:type="pct"/>
                  <w:noWrap w:val="0"/>
                  <w:vAlign w:val="center"/>
                </w:tcPr>
                <w:p w14:paraId="7EDA1F75">
                  <w:pPr>
                    <w:pStyle w:val="11"/>
                    <w:widowControl w:val="0"/>
                    <w:adjustRightInd w:val="0"/>
                    <w:snapToGrid w:val="0"/>
                    <w:jc w:val="both"/>
                    <w:rPr>
                      <w:rStyle w:val="6"/>
                      <w:rFonts w:ascii="宋体" w:hAnsi="宋体" w:eastAsia="宋体" w:cs="Times New Roman"/>
                      <w:kern w:val="2"/>
                      <w:sz w:val="21"/>
                      <w:lang w:val="en-US" w:eastAsia="zh-CN" w:bidi="ar-SA"/>
                    </w:rPr>
                  </w:pPr>
                  <w:r>
                    <w:rPr>
                      <w:rStyle w:val="6"/>
                      <w:rFonts w:ascii="宋体" w:hAnsi="宋体" w:eastAsia="宋体" w:cs="Times New Roman"/>
                      <w:kern w:val="2"/>
                      <w:sz w:val="21"/>
                      <w:lang w:val="en-US" w:eastAsia="zh-CN" w:bidi="ar-SA"/>
                    </w:rPr>
                    <w:t>持有排污许可证的企业。</w:t>
                  </w:r>
                </w:p>
              </w:tc>
            </w:tr>
          </w:tbl>
          <w:p w14:paraId="02FC9D74"/>
        </w:tc>
      </w:tr>
    </w:tbl>
    <w:p w14:paraId="7B2EAD8A">
      <w:pPr>
        <w:pStyle w:val="2"/>
        <w:ind w:firstLine="602" w:firstLineChars="200"/>
        <w:jc w:val="left"/>
        <w:rPr>
          <w:rFonts w:ascii="宋体" w:hAnsi="宋体" w:eastAsia="宋体" w:cs="宋体"/>
          <w:b/>
          <w:i w:val="0"/>
          <w:sz w:val="30"/>
        </w:rPr>
      </w:pPr>
      <w:bookmarkStart w:id="2" w:name="_Toc256000080"/>
      <w:r>
        <w:rPr>
          <w:rFonts w:ascii="宋体" w:hAnsi="宋体" w:eastAsia="宋体" w:cs="宋体"/>
          <w:b/>
          <w:i w:val="0"/>
          <w:sz w:val="30"/>
        </w:rPr>
        <w:t>其他控制及管理要求</w:t>
      </w:r>
      <w:bookmarkEnd w:id="2"/>
    </w:p>
    <w:tbl>
      <w:tblPr>
        <w:tblStyle w:val="5"/>
        <w:tblW w:w="141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5"/>
      </w:tblGrid>
      <w:tr w14:paraId="35443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2A8EADF4">
            <w:pPr>
              <w:pStyle w:val="12"/>
              <w:widowControl w:val="0"/>
              <w:jc w:val="center"/>
              <w:rPr>
                <w:rStyle w:val="6"/>
                <w:rFonts w:hint="eastAsia" w:ascii="黑体" w:hAnsi="黑体" w:eastAsia="黑体" w:cs="Times New Roman"/>
                <w:kern w:val="2"/>
                <w:sz w:val="21"/>
                <w:lang w:val="en-US" w:eastAsia="zh-CN" w:bidi="ar-SA"/>
              </w:rPr>
            </w:pPr>
            <w:r>
              <w:rPr>
                <w:rStyle w:val="6"/>
                <w:rFonts w:ascii="黑体" w:hAnsi="黑体" w:eastAsia="黑体" w:cs="Times New Roman"/>
                <w:kern w:val="2"/>
                <w:sz w:val="24"/>
                <w:szCs w:val="24"/>
                <w:lang w:val="en-US" w:eastAsia="zh-CN" w:bidi="ar-SA"/>
              </w:rPr>
              <w:t>大气环境管理要求</w:t>
            </w:r>
          </w:p>
        </w:tc>
      </w:tr>
      <w:tr w14:paraId="21907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0C290408">
            <w:pPr>
              <w:pStyle w:val="12"/>
              <w:widowControl w:val="0"/>
              <w:jc w:val="both"/>
              <w:rPr>
                <w:rStyle w:val="6"/>
                <w:rFonts w:hint="eastAsia" w:ascii="宋体" w:hAnsi="宋体" w:eastAsia="宋体" w:cs="Times New Roman"/>
                <w:kern w:val="2"/>
                <w:sz w:val="21"/>
                <w:lang w:bidi="ar-SA"/>
              </w:rPr>
            </w:pPr>
            <w:r>
              <w:rPr>
                <w:rStyle w:val="6"/>
                <w:rFonts w:hint="eastAsia" w:ascii="宋体" w:hAnsi="宋体" w:eastAsia="宋体" w:cs="Times New Roman"/>
                <w:kern w:val="2"/>
                <w:sz w:val="21"/>
                <w:lang w:val="en-US" w:eastAsia="zh-CN" w:bidi="ar-SA"/>
              </w:rPr>
              <w:t>1.排污单位应建立自行监测质量管理制度，按照相关技术要求规范做好大气监测与质量控制。2.排污单位应当做好大气监测相关的数据记录，按照规定进行保存，并依据相关法规向社会公开监测结果，不得瞒报、篡改伪造监测数据。3.做好大气污染物防治设施及监测设备的维保，保证设施正常运转。</w:t>
            </w:r>
          </w:p>
        </w:tc>
      </w:tr>
      <w:tr w14:paraId="34FE3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416D021E">
            <w:pPr>
              <w:pStyle w:val="13"/>
              <w:widowControl w:val="0"/>
              <w:jc w:val="center"/>
              <w:rPr>
                <w:rStyle w:val="6"/>
                <w:rFonts w:hint="eastAsia" w:ascii="黑体" w:hAnsi="黑体" w:eastAsia="黑体" w:cs="Times New Roman"/>
                <w:kern w:val="2"/>
                <w:sz w:val="21"/>
                <w:lang w:val="en-US" w:eastAsia="zh-CN" w:bidi="ar-SA"/>
              </w:rPr>
            </w:pPr>
            <w:r>
              <w:rPr>
                <w:rStyle w:val="6"/>
                <w:rFonts w:hint="eastAsia" w:ascii="黑体" w:hAnsi="黑体" w:eastAsia="黑体" w:cs="Times New Roman"/>
                <w:kern w:val="2"/>
                <w:sz w:val="24"/>
                <w:szCs w:val="24"/>
                <w:lang w:val="en-US" w:eastAsia="zh-CN" w:bidi="ar-SA"/>
              </w:rPr>
              <w:t>水环境管理要求</w:t>
            </w:r>
          </w:p>
        </w:tc>
      </w:tr>
      <w:tr w14:paraId="67729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6D3E3DB3">
            <w:pPr>
              <w:pStyle w:val="13"/>
              <w:widowControl w:val="0"/>
              <w:jc w:val="both"/>
              <w:rPr>
                <w:rStyle w:val="6"/>
                <w:rFonts w:hint="eastAsia" w:ascii="Calibri" w:hAnsi="Calibri" w:eastAsia="宋体" w:cs="Times New Roman"/>
                <w:kern w:val="2"/>
                <w:sz w:val="21"/>
                <w:lang w:bidi="ar-SA"/>
              </w:rPr>
            </w:pPr>
            <w:r>
              <w:rPr>
                <w:rStyle w:val="6"/>
                <w:rFonts w:hint="eastAsia" w:ascii="宋体" w:hAnsi="宋体" w:eastAsia="宋体" w:cs="Times New Roman"/>
                <w:kern w:val="2"/>
                <w:sz w:val="21"/>
                <w:lang w:val="en-US" w:eastAsia="zh-CN" w:bidi="ar-SA"/>
              </w:rPr>
              <w:t>/</w:t>
            </w:r>
          </w:p>
        </w:tc>
      </w:tr>
      <w:tr w14:paraId="35F2B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095E5137">
            <w:pPr>
              <w:pStyle w:val="14"/>
              <w:widowControl w:val="0"/>
              <w:jc w:val="center"/>
              <w:rPr>
                <w:rStyle w:val="6"/>
                <w:rFonts w:hint="eastAsia" w:ascii="黑体" w:hAnsi="黑体" w:eastAsia="黑体" w:cs="Times New Roman"/>
                <w:kern w:val="2"/>
                <w:sz w:val="21"/>
                <w:lang w:val="en-US" w:eastAsia="zh-CN" w:bidi="ar-SA"/>
              </w:rPr>
            </w:pPr>
            <w:r>
              <w:rPr>
                <w:rStyle w:val="6"/>
                <w:rFonts w:hint="eastAsia" w:ascii="黑体" w:hAnsi="黑体" w:eastAsia="黑体" w:cs="Times New Roman"/>
                <w:kern w:val="2"/>
                <w:sz w:val="24"/>
                <w:szCs w:val="24"/>
                <w:lang w:val="en-US" w:eastAsia="zh-CN" w:bidi="ar-SA"/>
              </w:rPr>
              <w:t>土壤污染防治要求</w:t>
            </w:r>
          </w:p>
        </w:tc>
      </w:tr>
      <w:tr w14:paraId="6DC1F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3D745EA9">
            <w:pPr>
              <w:pStyle w:val="14"/>
              <w:widowControl w:val="0"/>
              <w:jc w:val="both"/>
              <w:rPr>
                <w:rStyle w:val="6"/>
                <w:rFonts w:hint="eastAsia" w:ascii="Calibri" w:hAnsi="Calibri" w:eastAsia="宋体" w:cs="Times New Roman"/>
                <w:kern w:val="2"/>
                <w:sz w:val="21"/>
                <w:lang w:bidi="ar-SA"/>
              </w:rPr>
            </w:pPr>
            <w:r>
              <w:rPr>
                <w:rStyle w:val="6"/>
                <w:rFonts w:hint="eastAsia" w:ascii="宋体" w:hAnsi="宋体" w:eastAsia="宋体" w:cs="Times New Roman"/>
                <w:kern w:val="2"/>
                <w:sz w:val="21"/>
                <w:lang w:val="en-US" w:eastAsia="zh-CN" w:bidi="ar-SA"/>
              </w:rPr>
              <w:t>1. 严格控制有毒有害物质排放，并按年度向生态环境主管部门报告排放情况；2. 建立土壤污染隐患排查制度，保证持续有效防止有毒有害物质渗漏、流失、扬散；3. 制定、实施自行监测方案，并将监测数据报生态环境主管部门（可通过全国排污许可证管理信息平台或全国污染源监测信息管理与共享系统等途径报送）。</w:t>
            </w:r>
          </w:p>
        </w:tc>
      </w:tr>
      <w:tr w14:paraId="07023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5969117A">
            <w:pPr>
              <w:pStyle w:val="15"/>
              <w:widowControl w:val="0"/>
              <w:jc w:val="center"/>
              <w:rPr>
                <w:rStyle w:val="6"/>
                <w:rFonts w:hint="eastAsia" w:ascii="黑体" w:hAnsi="黑体" w:eastAsia="黑体" w:cs="Times New Roman"/>
                <w:kern w:val="2"/>
                <w:sz w:val="21"/>
                <w:lang w:val="en-US" w:eastAsia="zh-CN" w:bidi="ar-SA"/>
              </w:rPr>
            </w:pPr>
            <w:r>
              <w:rPr>
                <w:rStyle w:val="6"/>
                <w:rFonts w:hint="eastAsia" w:ascii="黑体" w:hAnsi="黑体" w:eastAsia="黑体" w:cs="Times New Roman"/>
                <w:kern w:val="2"/>
                <w:sz w:val="24"/>
                <w:szCs w:val="24"/>
                <w:lang w:val="en-US" w:eastAsia="zh-CN" w:bidi="ar-SA"/>
              </w:rPr>
              <w:t>固体废物污染环境防治要求</w:t>
            </w:r>
          </w:p>
        </w:tc>
      </w:tr>
      <w:tr w14:paraId="67FE9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5AAEE3B2">
            <w:pPr>
              <w:pStyle w:val="15"/>
              <w:widowControl w:val="0"/>
              <w:jc w:val="both"/>
              <w:rPr>
                <w:rStyle w:val="6"/>
                <w:rFonts w:hint="eastAsia" w:ascii="宋体" w:hAnsi="宋体" w:eastAsia="宋体" w:cs="Times New Roman"/>
                <w:kern w:val="2"/>
                <w:sz w:val="21"/>
                <w:lang w:bidi="ar-SA"/>
              </w:rPr>
            </w:pPr>
            <w:r>
              <w:rPr>
                <w:rStyle w:val="6"/>
                <w:rFonts w:hint="eastAsia" w:ascii="宋体" w:hAnsi="宋体" w:eastAsia="宋体" w:cs="Times New Roman"/>
                <w:kern w:val="2"/>
                <w:sz w:val="21"/>
                <w:lang w:val="en-US" w:eastAsia="zh-CN" w:bidi="ar-SA"/>
              </w:rPr>
              <w:t>1. 记录固体废物产生、贮存、利用、处置的种类及数量（含委托利用处置和自行利用处置）；2. 属于一般工业固体废物的，其贮存场、处置场应符合GB18599的相关要求；采用库房、包装容器贮存的，应满足相应的防尘、防水、防漏环境保护要求；3. 属于危险废物的，其贮存应符合GB18597的相关要求，并委托具有危险废物环境许可证的单位进行利用处置或按照GB18484等相关标准及技术规范要求自行利用处置；危险废物应按照规定严格执行危险废物转移联单制度。</w:t>
            </w:r>
          </w:p>
        </w:tc>
      </w:tr>
      <w:tr w14:paraId="21BFC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403BD349">
            <w:pPr>
              <w:pStyle w:val="16"/>
              <w:widowControl w:val="0"/>
              <w:jc w:val="center"/>
              <w:rPr>
                <w:rStyle w:val="6"/>
                <w:rFonts w:hint="eastAsia" w:ascii="黑体" w:hAnsi="黑体" w:eastAsia="黑体" w:cs="Times New Roman"/>
                <w:kern w:val="2"/>
                <w:sz w:val="21"/>
                <w:lang w:val="en-US" w:eastAsia="zh-CN" w:bidi="ar-SA"/>
              </w:rPr>
            </w:pPr>
            <w:r>
              <w:rPr>
                <w:rStyle w:val="6"/>
                <w:rFonts w:hint="eastAsia" w:ascii="黑体" w:hAnsi="黑体" w:eastAsia="黑体" w:cs="Times New Roman"/>
                <w:kern w:val="2"/>
                <w:sz w:val="24"/>
                <w:szCs w:val="24"/>
                <w:lang w:val="en-US" w:eastAsia="zh-CN" w:bidi="ar-SA"/>
              </w:rPr>
              <w:t>其他控制及管理要求</w:t>
            </w:r>
          </w:p>
        </w:tc>
      </w:tr>
      <w:tr w14:paraId="25B6A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174" w:type="dxa"/>
            <w:noWrap w:val="0"/>
            <w:vAlign w:val="center"/>
          </w:tcPr>
          <w:p w14:paraId="0B1B53F0">
            <w:pPr>
              <w:pStyle w:val="16"/>
              <w:widowControl w:val="0"/>
              <w:jc w:val="both"/>
              <w:rPr>
                <w:rStyle w:val="6"/>
                <w:rFonts w:hint="eastAsia" w:ascii="宋体" w:hAnsi="宋体" w:eastAsia="宋体" w:cs="Times New Roman"/>
                <w:kern w:val="2"/>
                <w:sz w:val="21"/>
                <w:lang w:bidi="ar-SA"/>
              </w:rPr>
            </w:pPr>
            <w:r>
              <w:rPr>
                <w:rStyle w:val="6"/>
                <w:rFonts w:hint="eastAsia" w:ascii="宋体" w:hAnsi="宋体" w:eastAsia="宋体" w:cs="Times New Roman"/>
                <w:kern w:val="2"/>
                <w:sz w:val="21"/>
                <w:lang w:val="en-US" w:eastAsia="zh-CN" w:bidi="ar-SA"/>
              </w:rPr>
              <w:t>无</w:t>
            </w:r>
          </w:p>
        </w:tc>
      </w:tr>
    </w:tbl>
    <w:p w14:paraId="00FCA74D">
      <w:pPr>
        <w:widowControl w:val="0"/>
        <w:numPr>
          <w:ilvl w:val="0"/>
          <w:numId w:val="0"/>
        </w:numPr>
        <w:jc w:val="both"/>
        <w:rPr>
          <w:rFonts w:hint="default" w:ascii="宋体" w:hAnsi="宋体" w:eastAsia="宋体" w:cs="宋体"/>
          <w:b w:val="0"/>
          <w:bCs w:val="0"/>
          <w:sz w:val="30"/>
          <w:szCs w:val="30"/>
          <w:lang w:val="en-US" w:eastAsia="zh-CN"/>
        </w:rPr>
      </w:pPr>
    </w:p>
    <w:p w14:paraId="3E3F3F3C">
      <w:pPr>
        <w:widowControl w:val="0"/>
        <w:numPr>
          <w:ilvl w:val="0"/>
          <w:numId w:val="0"/>
        </w:numPr>
        <w:jc w:val="both"/>
        <w:rPr>
          <w:rFonts w:hint="default" w:ascii="宋体" w:hAnsi="宋体" w:eastAsia="宋体" w:cs="宋体"/>
          <w:b w:val="0"/>
          <w:bCs w:val="0"/>
          <w:sz w:val="30"/>
          <w:szCs w:val="30"/>
          <w:lang w:val="en-US" w:eastAsia="zh-CN"/>
        </w:rPr>
      </w:pPr>
    </w:p>
    <w:p w14:paraId="7B99EE3F">
      <w:pPr>
        <w:widowControl w:val="0"/>
        <w:numPr>
          <w:ilvl w:val="0"/>
          <w:numId w:val="0"/>
        </w:numPr>
        <w:jc w:val="both"/>
        <w:rPr>
          <w:rFonts w:hint="default" w:ascii="宋体" w:hAnsi="宋体" w:eastAsia="宋体" w:cs="宋体"/>
          <w:b w:val="0"/>
          <w:bCs w:val="0"/>
          <w:sz w:val="30"/>
          <w:szCs w:val="30"/>
          <w:lang w:val="en-US" w:eastAsia="zh-CN"/>
        </w:rPr>
      </w:pPr>
    </w:p>
    <w:p w14:paraId="36160C6A">
      <w:pPr>
        <w:widowControl w:val="0"/>
        <w:numPr>
          <w:ilvl w:val="0"/>
          <w:numId w:val="0"/>
        </w:numPr>
        <w:jc w:val="both"/>
        <w:rPr>
          <w:rFonts w:hint="default" w:ascii="宋体" w:hAnsi="宋体" w:eastAsia="宋体" w:cs="宋体"/>
          <w:b w:val="0"/>
          <w:bCs w:val="0"/>
          <w:sz w:val="30"/>
          <w:szCs w:val="30"/>
          <w:lang w:val="en-US" w:eastAsia="zh-CN"/>
        </w:rPr>
      </w:pPr>
    </w:p>
    <w:p w14:paraId="43F4BC5B">
      <w:pPr>
        <w:widowControl w:val="0"/>
        <w:numPr>
          <w:ilvl w:val="0"/>
          <w:numId w:val="0"/>
        </w:numPr>
        <w:jc w:val="both"/>
        <w:rPr>
          <w:rFonts w:hint="default" w:ascii="宋体" w:hAnsi="宋体" w:eastAsia="宋体" w:cs="宋体"/>
          <w:b w:val="0"/>
          <w:bCs w:val="0"/>
          <w:sz w:val="30"/>
          <w:szCs w:val="30"/>
          <w:lang w:val="en-US" w:eastAsia="zh-CN"/>
        </w:rPr>
      </w:pPr>
    </w:p>
    <w:p w14:paraId="0A18C235">
      <w:pPr>
        <w:widowControl w:val="0"/>
        <w:numPr>
          <w:ilvl w:val="0"/>
          <w:numId w:val="0"/>
        </w:numPr>
        <w:jc w:val="both"/>
        <w:rPr>
          <w:rFonts w:hint="default" w:ascii="宋体" w:hAnsi="宋体" w:eastAsia="宋体" w:cs="宋体"/>
          <w:b w:val="0"/>
          <w:bCs w:val="0"/>
          <w:sz w:val="30"/>
          <w:szCs w:val="30"/>
          <w:lang w:val="en-US" w:eastAsia="zh-CN"/>
        </w:rPr>
      </w:pPr>
    </w:p>
    <w:p w14:paraId="141B1726">
      <w:pPr>
        <w:widowControl w:val="0"/>
        <w:numPr>
          <w:ilvl w:val="0"/>
          <w:numId w:val="0"/>
        </w:numPr>
        <w:jc w:val="both"/>
        <w:rPr>
          <w:rFonts w:hint="default" w:ascii="宋体" w:hAnsi="宋体" w:eastAsia="宋体" w:cs="宋体"/>
          <w:b w:val="0"/>
          <w:bCs w:val="0"/>
          <w:sz w:val="30"/>
          <w:szCs w:val="30"/>
          <w:lang w:val="en-US" w:eastAsia="zh-CN"/>
        </w:rPr>
        <w:sectPr>
          <w:pgSz w:w="16838" w:h="11906" w:orient="landscape"/>
          <w:pgMar w:top="1800" w:right="1440" w:bottom="1800" w:left="1440" w:header="851" w:footer="992" w:gutter="0"/>
          <w:cols w:space="425" w:num="1"/>
          <w:docGrid w:type="lines" w:linePitch="312" w:charSpace="0"/>
        </w:sectPr>
      </w:pPr>
    </w:p>
    <w:p w14:paraId="43B1240D">
      <w:pPr>
        <w:widowControl w:val="0"/>
        <w:numPr>
          <w:ilvl w:val="0"/>
          <w:numId w:val="0"/>
        </w:numPr>
        <w:ind w:firstLine="600" w:firstLineChars="200"/>
        <w:jc w:val="both"/>
        <w:rPr>
          <w:rFonts w:hint="eastAsia" w:ascii="宋体" w:hAnsi="宋体" w:eastAsia="宋体" w:cs="宋体"/>
          <w:b/>
          <w:bCs/>
          <w:kern w:val="2"/>
          <w:sz w:val="30"/>
          <w:szCs w:val="30"/>
          <w:lang w:val="en-US" w:eastAsia="zh-CN" w:bidi="ar-SA"/>
        </w:rPr>
      </w:pPr>
      <w:r>
        <w:rPr>
          <w:rFonts w:hint="eastAsia" w:ascii="宋体" w:hAnsi="宋体" w:eastAsia="宋体" w:cs="宋体"/>
          <w:b/>
          <w:bCs/>
          <w:kern w:val="2"/>
          <w:sz w:val="30"/>
          <w:szCs w:val="30"/>
          <w:lang w:val="en-US" w:eastAsia="zh-CN" w:bidi="ar-SA"/>
        </w:rPr>
        <w:t>五、</w:t>
      </w:r>
      <w:r>
        <w:rPr>
          <w:rFonts w:hint="eastAsia" w:ascii="宋体" w:hAnsi="宋体" w:eastAsia="宋体" w:cs="宋体"/>
          <w:b/>
          <w:bCs/>
          <w:kern w:val="2"/>
          <w:sz w:val="30"/>
          <w:szCs w:val="30"/>
          <w:lang w:val="en-US" w:eastAsia="zh-CN" w:bidi="ar-SA"/>
        </w:rPr>
        <w:t>污染防治与排放信息</w:t>
      </w:r>
    </w:p>
    <w:p w14:paraId="1530C95C">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（一）</w:t>
      </w:r>
      <w:r>
        <w:rPr>
          <w:rFonts w:hint="eastAsia" w:ascii="宋体" w:hAnsi="宋体" w:eastAsia="宋体" w:cs="宋体"/>
          <w:b w:val="0"/>
          <w:bCs w:val="0"/>
          <w:kern w:val="2"/>
          <w:sz w:val="30"/>
          <w:szCs w:val="30"/>
          <w:lang w:val="en-US" w:eastAsia="zh-CN" w:bidi="ar-SA"/>
        </w:rPr>
        <w:t>废水利用处置情况</w:t>
      </w:r>
    </w:p>
    <w:p w14:paraId="6D082641">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本工艺中废水不外排，重复利用。</w:t>
      </w:r>
    </w:p>
    <w:p w14:paraId="729F42E6">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（二）</w:t>
      </w:r>
      <w:r>
        <w:rPr>
          <w:rFonts w:hint="eastAsia" w:ascii="宋体" w:hAnsi="宋体" w:eastAsia="宋体" w:cs="宋体"/>
          <w:b w:val="0"/>
          <w:bCs w:val="0"/>
          <w:kern w:val="2"/>
          <w:sz w:val="30"/>
          <w:szCs w:val="30"/>
          <w:lang w:val="en-US" w:eastAsia="zh-CN" w:bidi="ar-SA"/>
        </w:rPr>
        <w:t>废气利用处置情况</w:t>
      </w:r>
    </w:p>
    <w:p w14:paraId="7F886454">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废气（硫酸雾）通过酸雾吸收装置有组织排放后重复利用。</w:t>
      </w:r>
    </w:p>
    <w:p w14:paraId="563B6C22">
      <w:pPr>
        <w:widowControl w:val="0"/>
        <w:numPr>
          <w:ilvl w:val="0"/>
          <w:numId w:val="0"/>
        </w:numPr>
        <w:ind w:firstLine="600" w:firstLineChars="200"/>
        <w:jc w:val="both"/>
        <w:rPr>
          <w:rFonts w:hint="eastAsia" w:ascii="宋体" w:hAnsi="宋体" w:eastAsia="宋体" w:cs="宋体"/>
          <w:b w:val="0"/>
          <w:bCs w:val="0"/>
          <w:sz w:val="30"/>
          <w:szCs w:val="30"/>
          <w:lang w:val="en-US" w:eastAsia="zh-CN"/>
        </w:rPr>
      </w:pPr>
      <w:r>
        <w:rPr>
          <w:rFonts w:hint="eastAsia" w:ascii="宋体" w:hAnsi="宋体" w:eastAsia="宋体" w:cs="宋体"/>
          <w:b w:val="0"/>
          <w:bCs w:val="0"/>
          <w:kern w:val="2"/>
          <w:sz w:val="30"/>
          <w:szCs w:val="30"/>
          <w:lang w:val="en-US" w:eastAsia="zh-CN" w:bidi="ar-SA"/>
        </w:rPr>
        <w:t>废气 （颗粒物）通过</w:t>
      </w:r>
      <w:r>
        <w:rPr>
          <w:rFonts w:hint="eastAsia" w:ascii="宋体" w:hAnsi="宋体" w:eastAsia="宋体" w:cs="宋体"/>
          <w:b w:val="0"/>
          <w:bCs w:val="0"/>
          <w:sz w:val="30"/>
          <w:szCs w:val="30"/>
          <w:lang w:val="en-US" w:eastAsia="zh-CN"/>
        </w:rPr>
        <w:t>布袋除尘器、多管除尘+水浴进行除尘，</w:t>
      </w:r>
      <w:r>
        <w:rPr>
          <w:rFonts w:hint="eastAsia" w:ascii="宋体" w:hAnsi="宋体" w:eastAsia="宋体" w:cs="宋体"/>
          <w:b w:val="0"/>
          <w:bCs w:val="0"/>
          <w:kern w:val="2"/>
          <w:sz w:val="30"/>
          <w:szCs w:val="30"/>
          <w:lang w:val="en-US" w:eastAsia="zh-CN" w:bidi="ar-SA"/>
        </w:rPr>
        <w:t>颗粒物</w:t>
      </w:r>
      <w:r>
        <w:rPr>
          <w:rFonts w:hint="eastAsia" w:ascii="宋体" w:hAnsi="宋体" w:eastAsia="宋体" w:cs="宋体"/>
          <w:b w:val="0"/>
          <w:bCs w:val="0"/>
          <w:sz w:val="30"/>
          <w:szCs w:val="30"/>
          <w:lang w:val="en-US" w:eastAsia="zh-CN"/>
        </w:rPr>
        <w:t>由青海华研检测有限公司检测后达标排放。</w:t>
      </w:r>
    </w:p>
    <w:p w14:paraId="35F1C356">
      <w:pPr>
        <w:widowControl w:val="0"/>
        <w:numPr>
          <w:ilvl w:val="0"/>
          <w:numId w:val="0"/>
        </w:numPr>
        <w:ind w:left="0" w:leftChars="0"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（三）</w:t>
      </w:r>
      <w:r>
        <w:rPr>
          <w:rFonts w:hint="eastAsia" w:ascii="宋体" w:hAnsi="宋体" w:eastAsia="宋体" w:cs="宋体"/>
          <w:b w:val="0"/>
          <w:bCs w:val="0"/>
          <w:sz w:val="30"/>
          <w:szCs w:val="30"/>
          <w:lang w:val="en-US" w:eastAsia="zh-CN"/>
        </w:rPr>
        <w:t>固（危）废产生、收集、贮存、</w:t>
      </w:r>
      <w:r>
        <w:rPr>
          <w:rFonts w:hint="eastAsia" w:ascii="宋体" w:hAnsi="宋体" w:eastAsia="宋体" w:cs="宋体"/>
          <w:b w:val="0"/>
          <w:bCs w:val="0"/>
          <w:kern w:val="2"/>
          <w:sz w:val="30"/>
          <w:szCs w:val="30"/>
          <w:lang w:val="en-US" w:eastAsia="zh-CN" w:bidi="ar-SA"/>
        </w:rPr>
        <w:t>利用处置情况</w:t>
      </w:r>
    </w:p>
    <w:p w14:paraId="712E7B5F">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一般工业固体废物（硼泥）</w:t>
      </w:r>
    </w:p>
    <w:p w14:paraId="17A76F64">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产生、</w:t>
      </w:r>
      <w:r>
        <w:rPr>
          <w:rFonts w:hint="eastAsia" w:ascii="宋体" w:hAnsi="宋体" w:eastAsia="宋体" w:cs="宋体"/>
          <w:b w:val="0"/>
          <w:bCs w:val="0"/>
          <w:sz w:val="30"/>
          <w:szCs w:val="30"/>
          <w:lang w:val="en-US" w:eastAsia="zh-CN"/>
        </w:rPr>
        <w:t>贮存</w:t>
      </w:r>
      <w:r>
        <w:rPr>
          <w:rFonts w:hint="eastAsia" w:ascii="宋体" w:hAnsi="宋体" w:eastAsia="宋体" w:cs="宋体"/>
          <w:b w:val="0"/>
          <w:bCs w:val="0"/>
          <w:kern w:val="2"/>
          <w:sz w:val="30"/>
          <w:szCs w:val="30"/>
          <w:lang w:val="en-US" w:eastAsia="zh-CN" w:bidi="ar-SA"/>
        </w:rPr>
        <w:t>量：3291吨，处置量：11437.49吨</w:t>
      </w:r>
    </w:p>
    <w:p w14:paraId="3E9B8EDA">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固体废物（炉渣）</w:t>
      </w:r>
    </w:p>
    <w:p w14:paraId="1C211D24">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产生量：882吨，处置量：842吨，</w:t>
      </w:r>
      <w:r>
        <w:rPr>
          <w:rFonts w:hint="eastAsia" w:ascii="宋体" w:hAnsi="宋体" w:eastAsia="宋体" w:cs="宋体"/>
          <w:b w:val="0"/>
          <w:bCs w:val="0"/>
          <w:sz w:val="30"/>
          <w:szCs w:val="30"/>
          <w:lang w:val="en-US" w:eastAsia="zh-CN"/>
        </w:rPr>
        <w:t>贮存</w:t>
      </w:r>
      <w:r>
        <w:rPr>
          <w:rFonts w:hint="eastAsia" w:ascii="宋体" w:hAnsi="宋体" w:eastAsia="宋体" w:cs="宋体"/>
          <w:b w:val="0"/>
          <w:bCs w:val="0"/>
          <w:kern w:val="2"/>
          <w:sz w:val="30"/>
          <w:szCs w:val="30"/>
          <w:lang w:val="en-US" w:eastAsia="zh-CN" w:bidi="ar-SA"/>
        </w:rPr>
        <w:t>量40吨</w:t>
      </w:r>
    </w:p>
    <w:p w14:paraId="4BEFB1E6">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固体废物（粉煤灰）</w:t>
      </w:r>
    </w:p>
    <w:p w14:paraId="21491085">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产生量：179吨，处置量：170吨，</w:t>
      </w:r>
      <w:r>
        <w:rPr>
          <w:rFonts w:hint="eastAsia" w:ascii="宋体" w:hAnsi="宋体" w:eastAsia="宋体" w:cs="宋体"/>
          <w:b w:val="0"/>
          <w:bCs w:val="0"/>
          <w:sz w:val="30"/>
          <w:szCs w:val="30"/>
          <w:lang w:val="en-US" w:eastAsia="zh-CN"/>
        </w:rPr>
        <w:t>贮存</w:t>
      </w:r>
      <w:r>
        <w:rPr>
          <w:rFonts w:hint="eastAsia" w:ascii="宋体" w:hAnsi="宋体" w:eastAsia="宋体" w:cs="宋体"/>
          <w:b w:val="0"/>
          <w:bCs w:val="0"/>
          <w:kern w:val="2"/>
          <w:sz w:val="30"/>
          <w:szCs w:val="30"/>
          <w:lang w:val="en-US" w:eastAsia="zh-CN" w:bidi="ar-SA"/>
        </w:rPr>
        <w:t>量9 吨</w:t>
      </w:r>
    </w:p>
    <w:p w14:paraId="09200C5B">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危废（废机油）</w:t>
      </w:r>
    </w:p>
    <w:p w14:paraId="336C5A58">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产生、</w:t>
      </w:r>
      <w:r>
        <w:rPr>
          <w:rFonts w:hint="eastAsia" w:ascii="宋体" w:hAnsi="宋体" w:eastAsia="宋体" w:cs="宋体"/>
          <w:b w:val="0"/>
          <w:bCs w:val="0"/>
          <w:sz w:val="30"/>
          <w:szCs w:val="30"/>
          <w:lang w:val="en-US" w:eastAsia="zh-CN"/>
        </w:rPr>
        <w:t>贮存</w:t>
      </w:r>
      <w:r>
        <w:rPr>
          <w:rFonts w:hint="eastAsia" w:ascii="宋体" w:hAnsi="宋体" w:eastAsia="宋体" w:cs="宋体"/>
          <w:b w:val="0"/>
          <w:bCs w:val="0"/>
          <w:kern w:val="2"/>
          <w:sz w:val="30"/>
          <w:szCs w:val="30"/>
          <w:lang w:val="en-US" w:eastAsia="zh-CN" w:bidi="ar-SA"/>
        </w:rPr>
        <w:t>量：0.17吨，处置量：0.17吨</w:t>
      </w:r>
    </w:p>
    <w:p w14:paraId="13BB7E1B">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危废（废机油桶）</w:t>
      </w:r>
    </w:p>
    <w:p w14:paraId="1624AF5B">
      <w:pPr>
        <w:widowControl w:val="0"/>
        <w:numPr>
          <w:ilvl w:val="0"/>
          <w:numId w:val="0"/>
        </w:numPr>
        <w:ind w:firstLine="600" w:firstLineChars="200"/>
        <w:jc w:val="both"/>
        <w:rPr>
          <w:rFonts w:hint="eastAsia"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产生、</w:t>
      </w:r>
      <w:r>
        <w:rPr>
          <w:rFonts w:hint="eastAsia" w:ascii="宋体" w:hAnsi="宋体" w:eastAsia="宋体" w:cs="宋体"/>
          <w:b w:val="0"/>
          <w:bCs w:val="0"/>
          <w:sz w:val="30"/>
          <w:szCs w:val="30"/>
          <w:lang w:val="en-US" w:eastAsia="zh-CN"/>
        </w:rPr>
        <w:t>贮存</w:t>
      </w:r>
      <w:r>
        <w:rPr>
          <w:rFonts w:hint="eastAsia" w:ascii="宋体" w:hAnsi="宋体" w:eastAsia="宋体" w:cs="宋体"/>
          <w:b w:val="0"/>
          <w:bCs w:val="0"/>
          <w:kern w:val="2"/>
          <w:sz w:val="30"/>
          <w:szCs w:val="30"/>
          <w:lang w:val="en-US" w:eastAsia="zh-CN" w:bidi="ar-SA"/>
        </w:rPr>
        <w:t>量：0.18吨，处置量：0.18吨</w:t>
      </w:r>
    </w:p>
    <w:p w14:paraId="04B15B8A">
      <w:pPr>
        <w:widowControl w:val="0"/>
        <w:numPr>
          <w:ilvl w:val="0"/>
          <w:numId w:val="0"/>
        </w:numPr>
        <w:ind w:firstLine="600" w:firstLineChars="200"/>
        <w:jc w:val="both"/>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kern w:val="2"/>
          <w:sz w:val="30"/>
          <w:szCs w:val="30"/>
          <w:lang w:val="en-US" w:eastAsia="zh-CN" w:bidi="ar-SA"/>
        </w:rPr>
        <w:t>（四）自行监测方案、监测时间、监测点位、监测结果</w:t>
      </w:r>
    </w:p>
    <w:p w14:paraId="6494EEB2">
      <w:pPr>
        <w:widowControl w:val="0"/>
        <w:numPr>
          <w:numId w:val="0"/>
        </w:numPr>
        <w:jc w:val="both"/>
        <w:rPr>
          <w:rFonts w:hint="default" w:ascii="宋体" w:hAnsi="宋体" w:eastAsia="宋体" w:cs="宋体"/>
          <w:b w:val="0"/>
          <w:bCs w:val="0"/>
          <w:kern w:val="2"/>
          <w:sz w:val="30"/>
          <w:szCs w:val="30"/>
          <w:lang w:val="en-US" w:eastAsia="zh-CN" w:bidi="ar-SA"/>
        </w:rPr>
      </w:pPr>
    </w:p>
    <w:p w14:paraId="1762FE8A">
      <w:pPr>
        <w:widowControl w:val="0"/>
        <w:numPr>
          <w:numId w:val="0"/>
        </w:numPr>
        <w:jc w:val="both"/>
        <w:rPr>
          <w:rFonts w:hint="default" w:ascii="宋体" w:hAnsi="宋体" w:eastAsia="宋体" w:cs="宋体"/>
          <w:b w:val="0"/>
          <w:bCs w:val="0"/>
          <w:kern w:val="2"/>
          <w:sz w:val="30"/>
          <w:szCs w:val="30"/>
          <w:lang w:val="en-US" w:eastAsia="zh-CN" w:bidi="ar-SA"/>
        </w:rPr>
      </w:pPr>
    </w:p>
    <w:p w14:paraId="40DC751B">
      <w:pPr>
        <w:widowControl w:val="0"/>
        <w:numPr>
          <w:numId w:val="0"/>
        </w:numPr>
        <w:jc w:val="both"/>
        <w:rPr>
          <w:rFonts w:hint="default" w:ascii="宋体" w:hAnsi="宋体" w:eastAsia="宋体" w:cs="宋体"/>
          <w:b w:val="0"/>
          <w:bCs w:val="0"/>
          <w:kern w:val="2"/>
          <w:sz w:val="30"/>
          <w:szCs w:val="30"/>
          <w:lang w:val="en-US" w:eastAsia="zh-CN" w:bidi="ar-SA"/>
        </w:rPr>
      </w:pPr>
    </w:p>
    <w:p w14:paraId="4D44BDB6">
      <w:pPr>
        <w:widowControl w:val="0"/>
        <w:numPr>
          <w:numId w:val="0"/>
        </w:numPr>
        <w:jc w:val="both"/>
      </w:pPr>
      <w:r>
        <w:drawing>
          <wp:inline distT="0" distB="0" distL="114300" distR="114300">
            <wp:extent cx="5269865" cy="8030845"/>
            <wp:effectExtent l="0" t="0" r="6985" b="825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
                    <a:stretch>
                      <a:fillRect/>
                    </a:stretch>
                  </pic:blipFill>
                  <pic:spPr>
                    <a:xfrm>
                      <a:off x="0" y="0"/>
                      <a:ext cx="5269865" cy="8030845"/>
                    </a:xfrm>
                    <a:prstGeom prst="rect">
                      <a:avLst/>
                    </a:prstGeom>
                    <a:noFill/>
                    <a:ln>
                      <a:noFill/>
                    </a:ln>
                  </pic:spPr>
                </pic:pic>
              </a:graphicData>
            </a:graphic>
          </wp:inline>
        </w:drawing>
      </w:r>
    </w:p>
    <w:p w14:paraId="3CCC6E19">
      <w:pPr>
        <w:widowControl w:val="0"/>
        <w:numPr>
          <w:numId w:val="0"/>
        </w:numPr>
        <w:jc w:val="both"/>
      </w:pPr>
    </w:p>
    <w:p w14:paraId="7B22B878">
      <w:pPr>
        <w:widowControl w:val="0"/>
        <w:numPr>
          <w:numId w:val="0"/>
        </w:numPr>
        <w:jc w:val="both"/>
      </w:pPr>
    </w:p>
    <w:p w14:paraId="456C925F">
      <w:pPr>
        <w:widowControl w:val="0"/>
        <w:numPr>
          <w:numId w:val="0"/>
        </w:numPr>
        <w:jc w:val="both"/>
      </w:pPr>
    </w:p>
    <w:p w14:paraId="37138C6A">
      <w:pPr>
        <w:widowControl w:val="0"/>
        <w:numPr>
          <w:numId w:val="0"/>
        </w:numPr>
        <w:jc w:val="both"/>
      </w:pPr>
    </w:p>
    <w:p w14:paraId="599207D8">
      <w:pPr>
        <w:widowControl w:val="0"/>
        <w:numPr>
          <w:numId w:val="0"/>
        </w:numPr>
        <w:jc w:val="both"/>
      </w:pPr>
      <w:r>
        <w:drawing>
          <wp:inline distT="0" distB="0" distL="114300" distR="114300">
            <wp:extent cx="5269230" cy="7906385"/>
            <wp:effectExtent l="0" t="0" r="7620" b="1841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
                    <a:stretch>
                      <a:fillRect/>
                    </a:stretch>
                  </pic:blipFill>
                  <pic:spPr>
                    <a:xfrm>
                      <a:off x="0" y="0"/>
                      <a:ext cx="5269230" cy="7906385"/>
                    </a:xfrm>
                    <a:prstGeom prst="rect">
                      <a:avLst/>
                    </a:prstGeom>
                    <a:noFill/>
                    <a:ln>
                      <a:noFill/>
                    </a:ln>
                  </pic:spPr>
                </pic:pic>
              </a:graphicData>
            </a:graphic>
          </wp:inline>
        </w:drawing>
      </w:r>
    </w:p>
    <w:p w14:paraId="168AA05C">
      <w:pPr>
        <w:widowControl w:val="0"/>
        <w:numPr>
          <w:numId w:val="0"/>
        </w:numPr>
        <w:jc w:val="both"/>
      </w:pPr>
    </w:p>
    <w:p w14:paraId="7FF7CC8F">
      <w:pPr>
        <w:widowControl w:val="0"/>
        <w:numPr>
          <w:numId w:val="0"/>
        </w:numPr>
        <w:jc w:val="both"/>
      </w:pPr>
    </w:p>
    <w:p w14:paraId="2A80A831">
      <w:pPr>
        <w:widowControl w:val="0"/>
        <w:numPr>
          <w:numId w:val="0"/>
        </w:numPr>
        <w:jc w:val="both"/>
      </w:pPr>
    </w:p>
    <w:p w14:paraId="279C57BE">
      <w:pPr>
        <w:widowControl w:val="0"/>
        <w:numPr>
          <w:numId w:val="0"/>
        </w:numPr>
        <w:jc w:val="both"/>
      </w:pPr>
      <w:r>
        <w:drawing>
          <wp:inline distT="0" distB="0" distL="114300" distR="114300">
            <wp:extent cx="5272405" cy="8204835"/>
            <wp:effectExtent l="0" t="0" r="4445" b="571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7"/>
                    <a:stretch>
                      <a:fillRect/>
                    </a:stretch>
                  </pic:blipFill>
                  <pic:spPr>
                    <a:xfrm>
                      <a:off x="0" y="0"/>
                      <a:ext cx="5272405" cy="8204835"/>
                    </a:xfrm>
                    <a:prstGeom prst="rect">
                      <a:avLst/>
                    </a:prstGeom>
                    <a:noFill/>
                    <a:ln>
                      <a:noFill/>
                    </a:ln>
                  </pic:spPr>
                </pic:pic>
              </a:graphicData>
            </a:graphic>
          </wp:inline>
        </w:drawing>
      </w:r>
    </w:p>
    <w:p w14:paraId="478F9CD0">
      <w:pPr>
        <w:widowControl w:val="0"/>
        <w:numPr>
          <w:numId w:val="0"/>
        </w:numPr>
        <w:jc w:val="both"/>
      </w:pPr>
    </w:p>
    <w:p w14:paraId="40755EC1">
      <w:pPr>
        <w:widowControl w:val="0"/>
        <w:numPr>
          <w:numId w:val="0"/>
        </w:numPr>
        <w:jc w:val="both"/>
      </w:pPr>
    </w:p>
    <w:p w14:paraId="2479CEAC">
      <w:pPr>
        <w:widowControl w:val="0"/>
        <w:numPr>
          <w:numId w:val="0"/>
        </w:numPr>
        <w:jc w:val="both"/>
      </w:pPr>
      <w:r>
        <w:drawing>
          <wp:inline distT="0" distB="0" distL="114300" distR="114300">
            <wp:extent cx="5271135" cy="7450455"/>
            <wp:effectExtent l="0" t="0" r="5715" b="1714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8"/>
                    <a:stretch>
                      <a:fillRect/>
                    </a:stretch>
                  </pic:blipFill>
                  <pic:spPr>
                    <a:xfrm>
                      <a:off x="0" y="0"/>
                      <a:ext cx="5271135" cy="7450455"/>
                    </a:xfrm>
                    <a:prstGeom prst="rect">
                      <a:avLst/>
                    </a:prstGeom>
                    <a:noFill/>
                    <a:ln>
                      <a:noFill/>
                    </a:ln>
                  </pic:spPr>
                </pic:pic>
              </a:graphicData>
            </a:graphic>
          </wp:inline>
        </w:drawing>
      </w:r>
    </w:p>
    <w:p w14:paraId="309617FC">
      <w:pPr>
        <w:widowControl w:val="0"/>
        <w:numPr>
          <w:numId w:val="0"/>
        </w:numPr>
        <w:jc w:val="both"/>
      </w:pPr>
    </w:p>
    <w:p w14:paraId="046DE362">
      <w:pPr>
        <w:widowControl w:val="0"/>
        <w:numPr>
          <w:numId w:val="0"/>
        </w:numPr>
        <w:jc w:val="both"/>
      </w:pPr>
    </w:p>
    <w:p w14:paraId="10ACB42A">
      <w:pPr>
        <w:widowControl w:val="0"/>
        <w:numPr>
          <w:numId w:val="0"/>
        </w:numPr>
        <w:jc w:val="both"/>
      </w:pPr>
    </w:p>
    <w:p w14:paraId="5C304D88">
      <w:pPr>
        <w:widowControl w:val="0"/>
        <w:numPr>
          <w:numId w:val="0"/>
        </w:numPr>
        <w:jc w:val="both"/>
      </w:pPr>
    </w:p>
    <w:p w14:paraId="517348C2">
      <w:pPr>
        <w:widowControl w:val="0"/>
        <w:numPr>
          <w:numId w:val="0"/>
        </w:numPr>
        <w:jc w:val="both"/>
      </w:pPr>
    </w:p>
    <w:p w14:paraId="4B1EFD75">
      <w:pPr>
        <w:widowControl w:val="0"/>
        <w:numPr>
          <w:numId w:val="0"/>
        </w:numPr>
        <w:jc w:val="both"/>
      </w:pPr>
    </w:p>
    <w:p w14:paraId="14A7847C">
      <w:pPr>
        <w:widowControl w:val="0"/>
        <w:numPr>
          <w:numId w:val="0"/>
        </w:numPr>
        <w:jc w:val="both"/>
      </w:pPr>
      <w:r>
        <w:drawing>
          <wp:inline distT="0" distB="0" distL="114300" distR="114300">
            <wp:extent cx="5271135" cy="7450455"/>
            <wp:effectExtent l="0" t="0" r="5715" b="1714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9"/>
                    <a:stretch>
                      <a:fillRect/>
                    </a:stretch>
                  </pic:blipFill>
                  <pic:spPr>
                    <a:xfrm>
                      <a:off x="0" y="0"/>
                      <a:ext cx="5271135" cy="7450455"/>
                    </a:xfrm>
                    <a:prstGeom prst="rect">
                      <a:avLst/>
                    </a:prstGeom>
                    <a:noFill/>
                    <a:ln>
                      <a:noFill/>
                    </a:ln>
                  </pic:spPr>
                </pic:pic>
              </a:graphicData>
            </a:graphic>
          </wp:inline>
        </w:drawing>
      </w:r>
    </w:p>
    <w:p w14:paraId="27E0E77D">
      <w:pPr>
        <w:widowControl w:val="0"/>
        <w:numPr>
          <w:numId w:val="0"/>
        </w:numPr>
        <w:jc w:val="both"/>
      </w:pPr>
    </w:p>
    <w:p w14:paraId="3365C90C">
      <w:pPr>
        <w:widowControl w:val="0"/>
        <w:numPr>
          <w:numId w:val="0"/>
        </w:numPr>
        <w:jc w:val="both"/>
      </w:pPr>
    </w:p>
    <w:p w14:paraId="2F906E5A">
      <w:pPr>
        <w:widowControl w:val="0"/>
        <w:numPr>
          <w:numId w:val="0"/>
        </w:numPr>
        <w:jc w:val="both"/>
      </w:pPr>
    </w:p>
    <w:p w14:paraId="43F8AF21">
      <w:pPr>
        <w:widowControl w:val="0"/>
        <w:numPr>
          <w:numId w:val="0"/>
        </w:numPr>
        <w:jc w:val="both"/>
      </w:pPr>
    </w:p>
    <w:p w14:paraId="723BF80C">
      <w:pPr>
        <w:widowControl w:val="0"/>
        <w:numPr>
          <w:numId w:val="0"/>
        </w:numPr>
        <w:jc w:val="both"/>
      </w:pPr>
    </w:p>
    <w:p w14:paraId="26383A76">
      <w:pPr>
        <w:widowControl w:val="0"/>
        <w:numPr>
          <w:numId w:val="0"/>
        </w:numPr>
        <w:jc w:val="both"/>
      </w:pPr>
    </w:p>
    <w:p w14:paraId="14EDB043">
      <w:pPr>
        <w:widowControl w:val="0"/>
        <w:numPr>
          <w:numId w:val="0"/>
        </w:numPr>
        <w:jc w:val="both"/>
      </w:pPr>
      <w:r>
        <w:drawing>
          <wp:inline distT="0" distB="0" distL="114300" distR="114300">
            <wp:extent cx="5271135" cy="7450455"/>
            <wp:effectExtent l="0" t="0" r="5715" b="1714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0"/>
                    <a:stretch>
                      <a:fillRect/>
                    </a:stretch>
                  </pic:blipFill>
                  <pic:spPr>
                    <a:xfrm>
                      <a:off x="0" y="0"/>
                      <a:ext cx="5271135" cy="7450455"/>
                    </a:xfrm>
                    <a:prstGeom prst="rect">
                      <a:avLst/>
                    </a:prstGeom>
                    <a:noFill/>
                    <a:ln>
                      <a:noFill/>
                    </a:ln>
                  </pic:spPr>
                </pic:pic>
              </a:graphicData>
            </a:graphic>
          </wp:inline>
        </w:drawing>
      </w:r>
    </w:p>
    <w:p w14:paraId="561E0C31">
      <w:pPr>
        <w:widowControl w:val="0"/>
        <w:numPr>
          <w:numId w:val="0"/>
        </w:numPr>
        <w:jc w:val="both"/>
      </w:pPr>
    </w:p>
    <w:p w14:paraId="7A5FCD60">
      <w:pPr>
        <w:widowControl w:val="0"/>
        <w:numPr>
          <w:numId w:val="0"/>
        </w:numPr>
        <w:jc w:val="both"/>
      </w:pPr>
    </w:p>
    <w:p w14:paraId="75A123DA">
      <w:pPr>
        <w:widowControl w:val="0"/>
        <w:numPr>
          <w:numId w:val="0"/>
        </w:numPr>
        <w:jc w:val="both"/>
      </w:pPr>
    </w:p>
    <w:p w14:paraId="3CB187D4">
      <w:pPr>
        <w:widowControl w:val="0"/>
        <w:numPr>
          <w:numId w:val="0"/>
        </w:numPr>
        <w:jc w:val="both"/>
      </w:pPr>
    </w:p>
    <w:p w14:paraId="7619E2C2">
      <w:pPr>
        <w:widowControl w:val="0"/>
        <w:numPr>
          <w:numId w:val="0"/>
        </w:numPr>
        <w:jc w:val="both"/>
      </w:pPr>
    </w:p>
    <w:p w14:paraId="15BF801B">
      <w:pPr>
        <w:widowControl w:val="0"/>
        <w:numPr>
          <w:numId w:val="0"/>
        </w:numPr>
        <w:jc w:val="both"/>
      </w:pPr>
    </w:p>
    <w:p w14:paraId="438C4758">
      <w:pPr>
        <w:widowControl w:val="0"/>
        <w:numPr>
          <w:numId w:val="0"/>
        </w:numPr>
        <w:jc w:val="both"/>
      </w:pPr>
      <w:r>
        <w:drawing>
          <wp:inline distT="0" distB="0" distL="114300" distR="114300">
            <wp:extent cx="5271135" cy="7450455"/>
            <wp:effectExtent l="0" t="0" r="5715" b="1714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1"/>
                    <a:stretch>
                      <a:fillRect/>
                    </a:stretch>
                  </pic:blipFill>
                  <pic:spPr>
                    <a:xfrm>
                      <a:off x="0" y="0"/>
                      <a:ext cx="5271135" cy="7450455"/>
                    </a:xfrm>
                    <a:prstGeom prst="rect">
                      <a:avLst/>
                    </a:prstGeom>
                    <a:noFill/>
                    <a:ln>
                      <a:noFill/>
                    </a:ln>
                  </pic:spPr>
                </pic:pic>
              </a:graphicData>
            </a:graphic>
          </wp:inline>
        </w:drawing>
      </w:r>
    </w:p>
    <w:p w14:paraId="6EC03CE6">
      <w:pPr>
        <w:widowControl w:val="0"/>
        <w:numPr>
          <w:numId w:val="0"/>
        </w:numPr>
        <w:jc w:val="both"/>
      </w:pPr>
    </w:p>
    <w:p w14:paraId="1F61BB30">
      <w:pPr>
        <w:widowControl w:val="0"/>
        <w:numPr>
          <w:numId w:val="0"/>
        </w:numPr>
        <w:jc w:val="both"/>
      </w:pPr>
    </w:p>
    <w:p w14:paraId="41F9FAC8">
      <w:pPr>
        <w:widowControl w:val="0"/>
        <w:numPr>
          <w:numId w:val="0"/>
        </w:numPr>
        <w:jc w:val="both"/>
      </w:pPr>
    </w:p>
    <w:p w14:paraId="480B8D45">
      <w:pPr>
        <w:widowControl w:val="0"/>
        <w:numPr>
          <w:numId w:val="0"/>
        </w:numPr>
        <w:jc w:val="both"/>
      </w:pPr>
    </w:p>
    <w:p w14:paraId="1A827367">
      <w:pPr>
        <w:widowControl w:val="0"/>
        <w:numPr>
          <w:numId w:val="0"/>
        </w:numPr>
        <w:jc w:val="both"/>
      </w:pPr>
    </w:p>
    <w:p w14:paraId="1AAE9B98">
      <w:pPr>
        <w:widowControl w:val="0"/>
        <w:numPr>
          <w:numId w:val="0"/>
        </w:numPr>
        <w:jc w:val="both"/>
      </w:pPr>
    </w:p>
    <w:p w14:paraId="28987F13">
      <w:pPr>
        <w:widowControl w:val="0"/>
        <w:numPr>
          <w:numId w:val="0"/>
        </w:numPr>
        <w:jc w:val="both"/>
      </w:pPr>
      <w:r>
        <w:drawing>
          <wp:inline distT="0" distB="0" distL="114300" distR="114300">
            <wp:extent cx="5271135" cy="7450455"/>
            <wp:effectExtent l="0" t="0" r="5715" b="1714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2"/>
                    <a:stretch>
                      <a:fillRect/>
                    </a:stretch>
                  </pic:blipFill>
                  <pic:spPr>
                    <a:xfrm>
                      <a:off x="0" y="0"/>
                      <a:ext cx="5271135" cy="7450455"/>
                    </a:xfrm>
                    <a:prstGeom prst="rect">
                      <a:avLst/>
                    </a:prstGeom>
                    <a:noFill/>
                    <a:ln>
                      <a:noFill/>
                    </a:ln>
                  </pic:spPr>
                </pic:pic>
              </a:graphicData>
            </a:graphic>
          </wp:inline>
        </w:drawing>
      </w:r>
    </w:p>
    <w:p w14:paraId="0F26FEF2">
      <w:pPr>
        <w:widowControl w:val="0"/>
        <w:numPr>
          <w:numId w:val="0"/>
        </w:numPr>
        <w:jc w:val="both"/>
      </w:pPr>
    </w:p>
    <w:p w14:paraId="1D1CCEEE">
      <w:pPr>
        <w:widowControl w:val="0"/>
        <w:numPr>
          <w:numId w:val="0"/>
        </w:numPr>
        <w:jc w:val="both"/>
      </w:pPr>
    </w:p>
    <w:p w14:paraId="4898758E">
      <w:pPr>
        <w:widowControl w:val="0"/>
        <w:numPr>
          <w:numId w:val="0"/>
        </w:numPr>
        <w:jc w:val="both"/>
      </w:pPr>
    </w:p>
    <w:p w14:paraId="073C7809">
      <w:pPr>
        <w:widowControl w:val="0"/>
        <w:numPr>
          <w:numId w:val="0"/>
        </w:numPr>
        <w:jc w:val="both"/>
      </w:pPr>
    </w:p>
    <w:p w14:paraId="625DDB22">
      <w:pPr>
        <w:widowControl w:val="0"/>
        <w:numPr>
          <w:numId w:val="0"/>
        </w:numPr>
        <w:jc w:val="both"/>
      </w:pPr>
    </w:p>
    <w:p w14:paraId="2EEDB49F">
      <w:pPr>
        <w:widowControl w:val="0"/>
        <w:numPr>
          <w:numId w:val="0"/>
        </w:numPr>
        <w:jc w:val="both"/>
      </w:pPr>
    </w:p>
    <w:p w14:paraId="5D82D4D9">
      <w:pPr>
        <w:widowControl w:val="0"/>
        <w:numPr>
          <w:numId w:val="0"/>
        </w:numPr>
        <w:jc w:val="both"/>
      </w:pPr>
      <w:r>
        <w:drawing>
          <wp:inline distT="0" distB="0" distL="114300" distR="114300">
            <wp:extent cx="5271135" cy="7450455"/>
            <wp:effectExtent l="0" t="0" r="5715" b="17145"/>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3"/>
                    <a:stretch>
                      <a:fillRect/>
                    </a:stretch>
                  </pic:blipFill>
                  <pic:spPr>
                    <a:xfrm>
                      <a:off x="0" y="0"/>
                      <a:ext cx="5271135" cy="7450455"/>
                    </a:xfrm>
                    <a:prstGeom prst="rect">
                      <a:avLst/>
                    </a:prstGeom>
                    <a:noFill/>
                    <a:ln>
                      <a:noFill/>
                    </a:ln>
                  </pic:spPr>
                </pic:pic>
              </a:graphicData>
            </a:graphic>
          </wp:inline>
        </w:drawing>
      </w:r>
    </w:p>
    <w:p w14:paraId="42746F80">
      <w:pPr>
        <w:widowControl w:val="0"/>
        <w:numPr>
          <w:numId w:val="0"/>
        </w:numPr>
        <w:jc w:val="both"/>
      </w:pPr>
    </w:p>
    <w:p w14:paraId="7A50E64E">
      <w:pPr>
        <w:widowControl w:val="0"/>
        <w:numPr>
          <w:numId w:val="0"/>
        </w:numPr>
        <w:jc w:val="both"/>
      </w:pPr>
    </w:p>
    <w:p w14:paraId="716226B6">
      <w:pPr>
        <w:widowControl w:val="0"/>
        <w:numPr>
          <w:numId w:val="0"/>
        </w:numPr>
        <w:jc w:val="both"/>
      </w:pPr>
    </w:p>
    <w:p w14:paraId="303F03C0">
      <w:pPr>
        <w:widowControl w:val="0"/>
        <w:numPr>
          <w:numId w:val="0"/>
        </w:numPr>
        <w:jc w:val="both"/>
      </w:pPr>
    </w:p>
    <w:p w14:paraId="55729719">
      <w:pPr>
        <w:widowControl w:val="0"/>
        <w:numPr>
          <w:numId w:val="0"/>
        </w:numPr>
        <w:jc w:val="both"/>
      </w:pPr>
    </w:p>
    <w:p w14:paraId="2DD81FB5">
      <w:pPr>
        <w:widowControl w:val="0"/>
        <w:numPr>
          <w:numId w:val="0"/>
        </w:numPr>
        <w:jc w:val="both"/>
      </w:pPr>
    </w:p>
    <w:p w14:paraId="4BEF7E59">
      <w:pPr>
        <w:widowControl w:val="0"/>
        <w:numPr>
          <w:numId w:val="0"/>
        </w:numPr>
        <w:jc w:val="both"/>
      </w:pPr>
      <w:r>
        <w:drawing>
          <wp:inline distT="0" distB="0" distL="114300" distR="114300">
            <wp:extent cx="5271135" cy="7450455"/>
            <wp:effectExtent l="0" t="0" r="5715" b="17145"/>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14"/>
                    <a:stretch>
                      <a:fillRect/>
                    </a:stretch>
                  </pic:blipFill>
                  <pic:spPr>
                    <a:xfrm>
                      <a:off x="0" y="0"/>
                      <a:ext cx="5271135" cy="7450455"/>
                    </a:xfrm>
                    <a:prstGeom prst="rect">
                      <a:avLst/>
                    </a:prstGeom>
                    <a:noFill/>
                    <a:ln>
                      <a:noFill/>
                    </a:ln>
                  </pic:spPr>
                </pic:pic>
              </a:graphicData>
            </a:graphic>
          </wp:inline>
        </w:drawing>
      </w:r>
    </w:p>
    <w:p w14:paraId="21637928">
      <w:pPr>
        <w:widowControl w:val="0"/>
        <w:numPr>
          <w:numId w:val="0"/>
        </w:numPr>
        <w:jc w:val="both"/>
      </w:pPr>
    </w:p>
    <w:p w14:paraId="051D61FC">
      <w:pPr>
        <w:widowControl w:val="0"/>
        <w:numPr>
          <w:numId w:val="0"/>
        </w:numPr>
        <w:jc w:val="both"/>
      </w:pPr>
    </w:p>
    <w:p w14:paraId="4F7800B4">
      <w:pPr>
        <w:widowControl w:val="0"/>
        <w:numPr>
          <w:numId w:val="0"/>
        </w:numPr>
        <w:jc w:val="both"/>
      </w:pPr>
    </w:p>
    <w:p w14:paraId="6ACAF8A5">
      <w:pPr>
        <w:widowControl w:val="0"/>
        <w:numPr>
          <w:numId w:val="0"/>
        </w:numPr>
        <w:jc w:val="both"/>
      </w:pPr>
    </w:p>
    <w:p w14:paraId="35D4C50D">
      <w:pPr>
        <w:widowControl w:val="0"/>
        <w:numPr>
          <w:numId w:val="0"/>
        </w:numPr>
        <w:jc w:val="both"/>
      </w:pPr>
    </w:p>
    <w:p w14:paraId="552F0ED6">
      <w:pPr>
        <w:widowControl w:val="0"/>
        <w:numPr>
          <w:numId w:val="0"/>
        </w:numPr>
        <w:jc w:val="both"/>
      </w:pPr>
    </w:p>
    <w:p w14:paraId="739404C5">
      <w:pPr>
        <w:widowControl w:val="0"/>
        <w:numPr>
          <w:numId w:val="0"/>
        </w:numPr>
        <w:jc w:val="both"/>
      </w:pPr>
      <w:r>
        <w:drawing>
          <wp:inline distT="0" distB="0" distL="114300" distR="114300">
            <wp:extent cx="5271135" cy="7450455"/>
            <wp:effectExtent l="0" t="0" r="5715" b="17145"/>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15"/>
                    <a:stretch>
                      <a:fillRect/>
                    </a:stretch>
                  </pic:blipFill>
                  <pic:spPr>
                    <a:xfrm>
                      <a:off x="0" y="0"/>
                      <a:ext cx="5271135" cy="7450455"/>
                    </a:xfrm>
                    <a:prstGeom prst="rect">
                      <a:avLst/>
                    </a:prstGeom>
                    <a:noFill/>
                    <a:ln>
                      <a:noFill/>
                    </a:ln>
                  </pic:spPr>
                </pic:pic>
              </a:graphicData>
            </a:graphic>
          </wp:inline>
        </w:drawing>
      </w:r>
    </w:p>
    <w:p w14:paraId="37B5962A">
      <w:pPr>
        <w:widowControl w:val="0"/>
        <w:numPr>
          <w:numId w:val="0"/>
        </w:numPr>
        <w:jc w:val="both"/>
      </w:pPr>
    </w:p>
    <w:p w14:paraId="54374439">
      <w:pPr>
        <w:widowControl w:val="0"/>
        <w:numPr>
          <w:numId w:val="0"/>
        </w:numPr>
        <w:jc w:val="both"/>
      </w:pPr>
    </w:p>
    <w:p w14:paraId="4BF8B78C">
      <w:pPr>
        <w:widowControl w:val="0"/>
        <w:numPr>
          <w:numId w:val="0"/>
        </w:numPr>
        <w:jc w:val="both"/>
      </w:pPr>
    </w:p>
    <w:p w14:paraId="35A1FEBE">
      <w:pPr>
        <w:widowControl w:val="0"/>
        <w:numPr>
          <w:numId w:val="0"/>
        </w:numPr>
        <w:jc w:val="both"/>
      </w:pPr>
    </w:p>
    <w:p w14:paraId="17333B72">
      <w:pPr>
        <w:widowControl w:val="0"/>
        <w:numPr>
          <w:numId w:val="0"/>
        </w:numPr>
        <w:jc w:val="both"/>
      </w:pPr>
    </w:p>
    <w:p w14:paraId="465A5748">
      <w:pPr>
        <w:widowControl w:val="0"/>
        <w:numPr>
          <w:numId w:val="0"/>
        </w:numPr>
        <w:jc w:val="both"/>
      </w:pPr>
    </w:p>
    <w:p w14:paraId="69267787">
      <w:pPr>
        <w:widowControl w:val="0"/>
        <w:numPr>
          <w:numId w:val="0"/>
        </w:numPr>
        <w:jc w:val="both"/>
      </w:pPr>
      <w:r>
        <w:drawing>
          <wp:inline distT="0" distB="0" distL="114300" distR="114300">
            <wp:extent cx="5271135" cy="7450455"/>
            <wp:effectExtent l="0" t="0" r="5715" b="1714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6"/>
                    <a:stretch>
                      <a:fillRect/>
                    </a:stretch>
                  </pic:blipFill>
                  <pic:spPr>
                    <a:xfrm>
                      <a:off x="0" y="0"/>
                      <a:ext cx="5271135" cy="7450455"/>
                    </a:xfrm>
                    <a:prstGeom prst="rect">
                      <a:avLst/>
                    </a:prstGeom>
                    <a:noFill/>
                    <a:ln>
                      <a:noFill/>
                    </a:ln>
                  </pic:spPr>
                </pic:pic>
              </a:graphicData>
            </a:graphic>
          </wp:inline>
        </w:drawing>
      </w:r>
    </w:p>
    <w:p w14:paraId="35422BB1">
      <w:pPr>
        <w:widowControl w:val="0"/>
        <w:numPr>
          <w:numId w:val="0"/>
        </w:numPr>
        <w:jc w:val="both"/>
      </w:pPr>
    </w:p>
    <w:p w14:paraId="67FAF75D">
      <w:pPr>
        <w:widowControl w:val="0"/>
        <w:numPr>
          <w:numId w:val="0"/>
        </w:numPr>
        <w:jc w:val="both"/>
      </w:pPr>
    </w:p>
    <w:p w14:paraId="5B1F48FE">
      <w:pPr>
        <w:widowControl w:val="0"/>
        <w:numPr>
          <w:numId w:val="0"/>
        </w:numPr>
        <w:jc w:val="both"/>
      </w:pPr>
    </w:p>
    <w:p w14:paraId="062D66A2">
      <w:pPr>
        <w:widowControl w:val="0"/>
        <w:numPr>
          <w:numId w:val="0"/>
        </w:numPr>
        <w:jc w:val="both"/>
      </w:pPr>
    </w:p>
    <w:p w14:paraId="6446D50C">
      <w:pPr>
        <w:widowControl w:val="0"/>
        <w:numPr>
          <w:numId w:val="0"/>
        </w:numPr>
        <w:jc w:val="both"/>
      </w:pPr>
    </w:p>
    <w:p w14:paraId="39D71168">
      <w:pPr>
        <w:widowControl w:val="0"/>
        <w:numPr>
          <w:numId w:val="0"/>
        </w:numPr>
        <w:jc w:val="both"/>
      </w:pPr>
    </w:p>
    <w:p w14:paraId="5982CA9E">
      <w:pPr>
        <w:widowControl w:val="0"/>
        <w:numPr>
          <w:numId w:val="0"/>
        </w:numPr>
        <w:jc w:val="both"/>
      </w:pPr>
      <w:r>
        <w:drawing>
          <wp:inline distT="0" distB="0" distL="114300" distR="114300">
            <wp:extent cx="5271135" cy="7450455"/>
            <wp:effectExtent l="0" t="0" r="5715" b="1714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7"/>
                    <a:stretch>
                      <a:fillRect/>
                    </a:stretch>
                  </pic:blipFill>
                  <pic:spPr>
                    <a:xfrm>
                      <a:off x="0" y="0"/>
                      <a:ext cx="5271135" cy="7450455"/>
                    </a:xfrm>
                    <a:prstGeom prst="rect">
                      <a:avLst/>
                    </a:prstGeom>
                    <a:noFill/>
                    <a:ln>
                      <a:noFill/>
                    </a:ln>
                  </pic:spPr>
                </pic:pic>
              </a:graphicData>
            </a:graphic>
          </wp:inline>
        </w:drawing>
      </w:r>
    </w:p>
    <w:p w14:paraId="2B57890D">
      <w:pPr>
        <w:widowControl w:val="0"/>
        <w:numPr>
          <w:numId w:val="0"/>
        </w:numPr>
        <w:jc w:val="both"/>
      </w:pPr>
    </w:p>
    <w:p w14:paraId="373D60CE">
      <w:pPr>
        <w:widowControl w:val="0"/>
        <w:numPr>
          <w:numId w:val="0"/>
        </w:numPr>
        <w:jc w:val="both"/>
      </w:pPr>
    </w:p>
    <w:p w14:paraId="6E1E3F6D">
      <w:pPr>
        <w:widowControl w:val="0"/>
        <w:numPr>
          <w:numId w:val="0"/>
        </w:numPr>
        <w:jc w:val="both"/>
      </w:pPr>
    </w:p>
    <w:p w14:paraId="40103A5F">
      <w:pPr>
        <w:widowControl w:val="0"/>
        <w:numPr>
          <w:numId w:val="0"/>
        </w:numPr>
        <w:jc w:val="both"/>
      </w:pPr>
    </w:p>
    <w:p w14:paraId="7DD2D080">
      <w:pPr>
        <w:widowControl w:val="0"/>
        <w:numPr>
          <w:numId w:val="0"/>
        </w:numPr>
        <w:jc w:val="both"/>
      </w:pPr>
    </w:p>
    <w:p w14:paraId="6BC9F041">
      <w:pPr>
        <w:widowControl w:val="0"/>
        <w:numPr>
          <w:numId w:val="0"/>
        </w:numPr>
        <w:jc w:val="both"/>
      </w:pPr>
    </w:p>
    <w:p w14:paraId="2961DE81">
      <w:pPr>
        <w:widowControl w:val="0"/>
        <w:numPr>
          <w:numId w:val="0"/>
        </w:numPr>
        <w:jc w:val="both"/>
      </w:pPr>
      <w:r>
        <w:drawing>
          <wp:inline distT="0" distB="0" distL="114300" distR="114300">
            <wp:extent cx="5271135" cy="7450455"/>
            <wp:effectExtent l="0" t="0" r="5715" b="1714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18"/>
                    <a:stretch>
                      <a:fillRect/>
                    </a:stretch>
                  </pic:blipFill>
                  <pic:spPr>
                    <a:xfrm>
                      <a:off x="0" y="0"/>
                      <a:ext cx="5271135" cy="7450455"/>
                    </a:xfrm>
                    <a:prstGeom prst="rect">
                      <a:avLst/>
                    </a:prstGeom>
                    <a:noFill/>
                    <a:ln>
                      <a:noFill/>
                    </a:ln>
                  </pic:spPr>
                </pic:pic>
              </a:graphicData>
            </a:graphic>
          </wp:inline>
        </w:drawing>
      </w:r>
    </w:p>
    <w:p w14:paraId="6AB895CE">
      <w:pPr>
        <w:widowControl w:val="0"/>
        <w:numPr>
          <w:numId w:val="0"/>
        </w:numPr>
        <w:jc w:val="both"/>
      </w:pPr>
    </w:p>
    <w:p w14:paraId="32B28784">
      <w:pPr>
        <w:widowControl w:val="0"/>
        <w:numPr>
          <w:numId w:val="0"/>
        </w:numPr>
        <w:jc w:val="both"/>
      </w:pPr>
    </w:p>
    <w:p w14:paraId="71A06B90">
      <w:pPr>
        <w:widowControl w:val="0"/>
        <w:numPr>
          <w:numId w:val="0"/>
        </w:numPr>
        <w:jc w:val="both"/>
      </w:pPr>
    </w:p>
    <w:p w14:paraId="3B9C7CD0">
      <w:pPr>
        <w:widowControl w:val="0"/>
        <w:numPr>
          <w:numId w:val="0"/>
        </w:numPr>
        <w:jc w:val="both"/>
      </w:pPr>
    </w:p>
    <w:p w14:paraId="18602AB8">
      <w:pPr>
        <w:widowControl w:val="0"/>
        <w:numPr>
          <w:numId w:val="0"/>
        </w:numPr>
        <w:jc w:val="both"/>
      </w:pPr>
    </w:p>
    <w:p w14:paraId="5BECDC4F">
      <w:pPr>
        <w:widowControl w:val="0"/>
        <w:numPr>
          <w:numId w:val="0"/>
        </w:numPr>
        <w:jc w:val="both"/>
      </w:pPr>
    </w:p>
    <w:p w14:paraId="3134E173">
      <w:pPr>
        <w:widowControl w:val="0"/>
        <w:numPr>
          <w:numId w:val="0"/>
        </w:numPr>
        <w:jc w:val="both"/>
      </w:pPr>
      <w:r>
        <w:drawing>
          <wp:inline distT="0" distB="0" distL="114300" distR="114300">
            <wp:extent cx="5271135" cy="7450455"/>
            <wp:effectExtent l="0" t="0" r="5715" b="1714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9"/>
                    <a:stretch>
                      <a:fillRect/>
                    </a:stretch>
                  </pic:blipFill>
                  <pic:spPr>
                    <a:xfrm>
                      <a:off x="0" y="0"/>
                      <a:ext cx="5271135" cy="7450455"/>
                    </a:xfrm>
                    <a:prstGeom prst="rect">
                      <a:avLst/>
                    </a:prstGeom>
                    <a:noFill/>
                    <a:ln>
                      <a:noFill/>
                    </a:ln>
                  </pic:spPr>
                </pic:pic>
              </a:graphicData>
            </a:graphic>
          </wp:inline>
        </w:drawing>
      </w:r>
    </w:p>
    <w:p w14:paraId="208ED8F7">
      <w:pPr>
        <w:widowControl w:val="0"/>
        <w:numPr>
          <w:numId w:val="0"/>
        </w:numPr>
        <w:jc w:val="both"/>
      </w:pPr>
    </w:p>
    <w:p w14:paraId="23286B34">
      <w:pPr>
        <w:widowControl w:val="0"/>
        <w:numPr>
          <w:numId w:val="0"/>
        </w:numPr>
        <w:jc w:val="both"/>
      </w:pPr>
    </w:p>
    <w:p w14:paraId="0C8E52B9">
      <w:pPr>
        <w:widowControl w:val="0"/>
        <w:numPr>
          <w:numId w:val="0"/>
        </w:numPr>
        <w:jc w:val="both"/>
      </w:pPr>
    </w:p>
    <w:p w14:paraId="762538B1">
      <w:pPr>
        <w:widowControl w:val="0"/>
        <w:numPr>
          <w:numId w:val="0"/>
        </w:numPr>
        <w:jc w:val="both"/>
      </w:pPr>
    </w:p>
    <w:p w14:paraId="60C36AB2">
      <w:pPr>
        <w:widowControl w:val="0"/>
        <w:numPr>
          <w:numId w:val="0"/>
        </w:numPr>
        <w:jc w:val="both"/>
      </w:pPr>
    </w:p>
    <w:p w14:paraId="3E44876F">
      <w:pPr>
        <w:widowControl w:val="0"/>
        <w:numPr>
          <w:numId w:val="0"/>
        </w:numPr>
        <w:jc w:val="both"/>
      </w:pPr>
    </w:p>
    <w:p w14:paraId="58A1B5CF">
      <w:pPr>
        <w:widowControl w:val="0"/>
        <w:numPr>
          <w:ilvl w:val="0"/>
          <w:numId w:val="2"/>
        </w:numPr>
        <w:ind w:left="0" w:leftChars="0" w:firstLine="600" w:firstLineChars="200"/>
        <w:jc w:val="both"/>
        <w:rPr>
          <w:rFonts w:hint="eastAsia"/>
          <w:b/>
          <w:bCs/>
          <w:sz w:val="30"/>
          <w:szCs w:val="30"/>
          <w:lang w:eastAsia="zh-CN"/>
        </w:rPr>
      </w:pPr>
      <w:r>
        <w:rPr>
          <w:rFonts w:hint="eastAsia"/>
          <w:b/>
          <w:bCs/>
          <w:sz w:val="30"/>
          <w:szCs w:val="30"/>
          <w:lang w:eastAsia="zh-CN"/>
        </w:rPr>
        <w:t>环境风险防控与应急信息</w:t>
      </w:r>
    </w:p>
    <w:p w14:paraId="6652D349">
      <w:pPr>
        <w:widowControl w:val="0"/>
        <w:numPr>
          <w:ilvl w:val="0"/>
          <w:numId w:val="0"/>
        </w:numPr>
        <w:ind w:firstLine="600" w:firstLineChars="200"/>
        <w:jc w:val="both"/>
        <w:rPr>
          <w:rFonts w:hint="eastAsia" w:ascii="宋体" w:hAnsi="宋体" w:eastAsia="宋体" w:cs="宋体"/>
          <w:sz w:val="30"/>
          <w:szCs w:val="30"/>
        </w:rPr>
      </w:pPr>
      <w:r>
        <w:rPr>
          <w:rFonts w:hint="eastAsia" w:ascii="宋体" w:hAnsi="宋体" w:eastAsia="宋体" w:cs="宋体"/>
          <w:kern w:val="2"/>
          <w:sz w:val="30"/>
          <w:szCs w:val="30"/>
          <w:lang w:val="en-US" w:eastAsia="zh-CN" w:bidi="ar-SA"/>
        </w:rPr>
        <w:t>（一）</w:t>
      </w:r>
      <w:r>
        <w:rPr>
          <w:rFonts w:hint="eastAsia"/>
          <w:b w:val="0"/>
          <w:bCs w:val="0"/>
          <w:sz w:val="30"/>
          <w:szCs w:val="30"/>
          <w:lang w:val="en-US" w:eastAsia="zh-CN"/>
        </w:rPr>
        <w:t>环境风险评估</w:t>
      </w:r>
    </w:p>
    <w:p w14:paraId="34FA6C2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1.</w:t>
      </w:r>
      <w:r>
        <w:rPr>
          <w:rFonts w:hint="eastAsia" w:ascii="宋体" w:hAnsi="宋体" w:eastAsia="宋体" w:cs="宋体"/>
          <w:sz w:val="30"/>
          <w:szCs w:val="30"/>
        </w:rPr>
        <w:t>主要环境风险源识别</w:t>
      </w:r>
    </w:p>
    <w:p w14:paraId="2111FC6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水环境风险源（最高风险）：98%浓硫酸储罐区、酸解反应锅高硼酸性母液储罐、硼泥堆场、生产废水及初期雨水收集系统。特征污染物：总硼、硫酸盐、强酸（pH）、镁离子，是水体超标、地下水污染核心源头。</w:t>
      </w:r>
    </w:p>
    <w:p w14:paraId="2E02E86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大气环境风险源：酸解工段硫酸雾、矿粉无组织扬尘、烘干颗粒物、氧化硼粉尘、微量SO₂废气。</w:t>
      </w:r>
    </w:p>
    <w:p w14:paraId="166C467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土壤及地下水风险源：生产车间地面、储罐围堰、硼泥堆场防渗层、应急池防渗结构，破损后易造成污染物下渗，形成长期隐蔽污染。</w:t>
      </w:r>
    </w:p>
    <w:p w14:paraId="1941257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固体废物风险源：生产硼泥（Ⅰ类一般工业固废）、化验废酸、废滤布、废润滑油等危废，违规堆存、淋溶、转运流失风险突出。</w:t>
      </w:r>
    </w:p>
    <w:p w14:paraId="53B1FB3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环境应急风险源：无合规应急事故池、应急物资不足、预案未更新、无常态化演练。</w:t>
      </w:r>
    </w:p>
    <w:p w14:paraId="624F8E3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600" w:firstLineChars="200"/>
        <w:textAlignment w:val="auto"/>
        <w:rPr>
          <w:rFonts w:hint="eastAsia" w:ascii="宋体" w:hAnsi="宋体" w:eastAsia="宋体" w:cs="宋体"/>
          <w:sz w:val="30"/>
          <w:szCs w:val="30"/>
        </w:rPr>
      </w:pPr>
      <w:r>
        <w:rPr>
          <w:rFonts w:hint="eastAsia" w:ascii="宋体" w:hAnsi="宋体" w:eastAsia="宋体" w:cs="宋体"/>
          <w:kern w:val="2"/>
          <w:sz w:val="30"/>
          <w:szCs w:val="30"/>
          <w:lang w:val="en-US" w:eastAsia="zh-CN" w:bidi="ar-SA"/>
        </w:rPr>
        <w:t>2.</w:t>
      </w:r>
      <w:r>
        <w:rPr>
          <w:rFonts w:hint="eastAsia" w:ascii="宋体" w:hAnsi="宋体" w:eastAsia="宋体" w:cs="宋体"/>
          <w:sz w:val="30"/>
          <w:szCs w:val="30"/>
        </w:rPr>
        <w:t>各环境要素风险分析</w:t>
      </w:r>
    </w:p>
    <w:p w14:paraId="37B7391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firstLine="600" w:firstLineChars="200"/>
        <w:textAlignment w:val="auto"/>
        <w:rPr>
          <w:rFonts w:hint="eastAsia" w:ascii="宋体" w:hAnsi="宋体" w:eastAsia="宋体" w:cs="宋体"/>
          <w:sz w:val="30"/>
          <w:szCs w:val="30"/>
        </w:rPr>
      </w:pPr>
      <w:r>
        <w:rPr>
          <w:rFonts w:hint="eastAsia" w:ascii="宋体" w:hAnsi="宋体" w:eastAsia="宋体" w:cs="宋体"/>
          <w:sz w:val="30"/>
          <w:szCs w:val="30"/>
        </w:rPr>
        <w:t>地表水风险（突发重大风险）</w:t>
      </w:r>
    </w:p>
    <w:p w14:paraId="4DF14B4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硫酸、酸性母液泄漏或雨水冲刷厂区硼泥渗滤液外排，会导致周边沟渠、河道水体pH急剧下降、总硼严重超标（远超地表水0.5mg/L限值），造成水生生物死亡、水体生态破坏，污染农田灌溉水系，引发农作物硼中毒枯死，临近饮用水源地可触发Ⅱ级及以上突发环境事件。</w:t>
      </w:r>
    </w:p>
    <w:p w14:paraId="55BFE51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600" w:firstLineChars="200"/>
        <w:textAlignment w:val="auto"/>
        <w:rPr>
          <w:rFonts w:hint="eastAsia" w:ascii="宋体" w:hAnsi="宋体" w:eastAsia="宋体" w:cs="宋体"/>
          <w:sz w:val="30"/>
          <w:szCs w:val="30"/>
        </w:rPr>
      </w:pPr>
      <w:r>
        <w:rPr>
          <w:rFonts w:hint="eastAsia" w:ascii="宋体" w:hAnsi="宋体" w:eastAsia="宋体" w:cs="宋体"/>
          <w:sz w:val="30"/>
          <w:szCs w:val="30"/>
        </w:rPr>
        <w:t>地下水风险（长期慢性重大风险）</w:t>
      </w:r>
    </w:p>
    <w:p w14:paraId="5B4CDAD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硼离子水溶性强、土壤吸附性弱、迁移速度快，厂区防渗破损后，高硼酸性渗滤液持续下渗，会污染浅层、深层地下水含水层。地下水更新周期长，污染隐蔽性强、治理修复成本极高、周期可达数十年，直接破坏区域饮水、灌溉用水功能。</w:t>
      </w:r>
    </w:p>
    <w:p w14:paraId="7C93DA9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rPr>
        <w:t>大气环境风险（常态化较大风险）</w:t>
      </w:r>
    </w:p>
    <w:p w14:paraId="7242637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酸解工序非正常工况会大量逸散硫酸雾，刺激人体呼吸道、腐蚀周边农作物；氧化硼粉尘、颗粒物无组织排放，长期累积会造成厂区及周边空气超标，沉降后污染土壤。</w:t>
      </w:r>
    </w:p>
    <w:p w14:paraId="3695953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rPr>
        <w:t>土壤环境风险（持续性较大风险）</w:t>
      </w:r>
    </w:p>
    <w:p w14:paraId="3556FAE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物料洒落、酸雾沉降、硼泥淋溶，会导致厂区及周边土壤酸化、硼盐累积超标，破坏土壤团粒结构，造成土地盐碱化、功能退化，无法正常耕种，土壤修复难度大、周期长。</w:t>
      </w:r>
    </w:p>
    <w:p w14:paraId="64372A9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eastAsia="zh-CN"/>
        </w:rPr>
        <w:t>（二）</w:t>
      </w:r>
      <w:r>
        <w:rPr>
          <w:rFonts w:hint="eastAsia" w:ascii="宋体" w:hAnsi="宋体" w:eastAsia="宋体" w:cs="宋体"/>
          <w:sz w:val="30"/>
          <w:szCs w:val="30"/>
        </w:rPr>
        <w:t>环境隐患排查治理体系</w:t>
      </w:r>
    </w:p>
    <w:p w14:paraId="45D66A4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1.</w:t>
      </w:r>
      <w:r>
        <w:rPr>
          <w:rFonts w:hint="eastAsia" w:ascii="宋体" w:hAnsi="宋体" w:eastAsia="宋体" w:cs="宋体"/>
          <w:sz w:val="30"/>
          <w:szCs w:val="30"/>
        </w:rPr>
        <w:t>隐患排查范围</w:t>
      </w:r>
    </w:p>
    <w:p w14:paraId="79F5D12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覆盖全厂生产全流程：原料贮存、酸解反应、压滤分离、结晶烘干、三废治理、防渗设施、应急系统、台账管理、固废贮存转运等所有环节。</w:t>
      </w:r>
    </w:p>
    <w:p w14:paraId="3AF1A4E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left="0" w:leftChars="0" w:firstLine="600" w:firstLineChars="200"/>
        <w:textAlignment w:val="auto"/>
        <w:rPr>
          <w:rFonts w:hint="eastAsia" w:ascii="宋体" w:hAnsi="宋体" w:eastAsia="宋体" w:cs="宋体"/>
          <w:sz w:val="30"/>
          <w:szCs w:val="30"/>
        </w:rPr>
      </w:pPr>
      <w:r>
        <w:rPr>
          <w:rFonts w:hint="eastAsia" w:ascii="宋体" w:hAnsi="宋体" w:eastAsia="宋体" w:cs="宋体"/>
          <w:kern w:val="2"/>
          <w:sz w:val="30"/>
          <w:szCs w:val="30"/>
          <w:lang w:val="en-US" w:eastAsia="zh-CN" w:bidi="ar-SA"/>
        </w:rPr>
        <w:t>2.</w:t>
      </w:r>
      <w:r>
        <w:rPr>
          <w:rFonts w:hint="eastAsia" w:ascii="宋体" w:hAnsi="宋体" w:eastAsia="宋体" w:cs="宋体"/>
          <w:sz w:val="30"/>
          <w:szCs w:val="30"/>
        </w:rPr>
        <w:t>隐患分级判定</w:t>
      </w:r>
    </w:p>
    <w:p w14:paraId="7A150F5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firstLine="600" w:firstLineChars="200"/>
        <w:textAlignment w:val="auto"/>
        <w:rPr>
          <w:rFonts w:hint="eastAsia" w:ascii="宋体" w:hAnsi="宋体" w:eastAsia="宋体" w:cs="宋体"/>
          <w:sz w:val="30"/>
          <w:szCs w:val="30"/>
        </w:rPr>
      </w:pPr>
      <w:r>
        <w:rPr>
          <w:rFonts w:hint="eastAsia" w:ascii="宋体" w:hAnsi="宋体" w:eastAsia="宋体" w:cs="宋体"/>
          <w:sz w:val="30"/>
          <w:szCs w:val="30"/>
        </w:rPr>
        <w:t>重大环境隐患（必须立即停产整改）</w:t>
      </w:r>
    </w:p>
    <w:p w14:paraId="40C457A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硫酸储罐无防渗围堰、无防腐处理，存在泄漏直排风险；</w:t>
      </w:r>
    </w:p>
    <w:p w14:paraId="2BE61EC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厂区无合规应急事故池，或应急池容积不足、防渗破损、无法收集事故废水、消防废水；</w:t>
      </w:r>
    </w:p>
    <w:p w14:paraId="7A8BD0A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硼泥堆场无防渗膜、无防雨棚、无渗滤液收集系统，露天堆放，雨季渗滤液无序外流；</w:t>
      </w:r>
    </w:p>
    <w:p w14:paraId="77A47F4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废气治理设施长期停运，硫酸雾、粉尘直排，造成周边大气污染投诉；</w:t>
      </w:r>
    </w:p>
    <w:p w14:paraId="4BCAD38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突发环境事件应急预案未备案、超期未更新，无应急物资、无年度演练记录。</w:t>
      </w:r>
    </w:p>
    <w:p w14:paraId="7692970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rPr>
        <w:t>一般环境隐患（限期整改，闭环销号）</w:t>
      </w:r>
    </w:p>
    <w:p w14:paraId="7972D7F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车间局部防渗轻微破损、地面积酸积尘清理不及时；</w:t>
      </w:r>
    </w:p>
    <w:p w14:paraId="13A7C8D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废气喷淋药剂更换不及时，处理效率小幅下降；</w:t>
      </w:r>
    </w:p>
    <w:p w14:paraId="7FE6347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固废台账记录不完整、标识不规范，危废暂存间轻微杂物堆积；</w:t>
      </w:r>
    </w:p>
    <w:p w14:paraId="49A5CB1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初期雨水收集不规范、监测频次不足；</w:t>
      </w:r>
    </w:p>
    <w:p w14:paraId="593BEC6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应急物资摆放杂乱、少量物资过期缺失。</w:t>
      </w:r>
    </w:p>
    <w:p w14:paraId="12177EE7">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3.</w:t>
      </w:r>
      <w:r>
        <w:rPr>
          <w:rFonts w:hint="eastAsia" w:ascii="宋体" w:hAnsi="宋体" w:eastAsia="宋体" w:cs="宋体"/>
          <w:sz w:val="30"/>
          <w:szCs w:val="30"/>
        </w:rPr>
        <w:t>常态化排查机制</w:t>
      </w:r>
    </w:p>
    <w:p w14:paraId="231670A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日常排查：班组每日巡查重点设备、防渗设施、治理设施运行状态；</w:t>
      </w:r>
    </w:p>
    <w:p w14:paraId="646445F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专项排查：环保科每月开展废水、废气、固废、防渗、应急专项排查；</w:t>
      </w:r>
    </w:p>
    <w:p w14:paraId="546857B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0"/>
        <w:textAlignment w:val="auto"/>
        <w:rPr>
          <w:rFonts w:hint="eastAsia" w:ascii="宋体" w:hAnsi="宋体" w:eastAsia="宋体" w:cs="宋体"/>
          <w:sz w:val="30"/>
          <w:szCs w:val="30"/>
        </w:rPr>
      </w:pPr>
    </w:p>
    <w:p w14:paraId="1A95156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0"/>
        <w:textAlignment w:val="auto"/>
        <w:rPr>
          <w:rFonts w:hint="eastAsia" w:ascii="宋体" w:hAnsi="宋体" w:eastAsia="宋体" w:cs="宋体"/>
          <w:sz w:val="30"/>
          <w:szCs w:val="30"/>
        </w:rPr>
      </w:pPr>
    </w:p>
    <w:p w14:paraId="1434582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596" w:leftChars="284" w:firstLine="0" w:firstLineChars="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季节性排查：雨季重点排查堆场防渗、排水系统、应急池；旱季重点排查扬尘、物料贮存防护；</w:t>
      </w:r>
    </w:p>
    <w:p w14:paraId="7F14F47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节前排查：节假日、停产复工前开展全厂全覆盖隐患排查。</w:t>
      </w:r>
    </w:p>
    <w:p w14:paraId="633A7EA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4.</w:t>
      </w:r>
      <w:r>
        <w:rPr>
          <w:rFonts w:hint="eastAsia" w:ascii="宋体" w:hAnsi="宋体" w:eastAsia="宋体" w:cs="宋体"/>
          <w:sz w:val="30"/>
          <w:szCs w:val="30"/>
        </w:rPr>
        <w:t>隐患闭环治理流程</w:t>
      </w:r>
    </w:p>
    <w:p w14:paraId="025FF0C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严格执行五落实闭环管理（落实责任人、整改措施、整改资金、整改时限、应急预案）：</w:t>
      </w:r>
    </w:p>
    <w:p w14:paraId="36CE31A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隐患排查建档：发现隐患立即录入台账，标注隐患等级、位置、风险后果；</w:t>
      </w:r>
    </w:p>
    <w:p w14:paraId="6340F2D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596" w:leftChars="284" w:firstLine="0" w:firstLineChars="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分级整改处置：重大隐患立即停产、专人盯守、限时整改；一般隐患限期3-7日内整改；</w:t>
      </w:r>
    </w:p>
    <w:p w14:paraId="4BC6520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整改验收复核：整改完成后由环保、安全部门联合验收，核查治理效果；</w:t>
      </w:r>
    </w:p>
    <w:p w14:paraId="71FE096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台账闭环销号：验收合格后归档资料，完成销号，留存全过程影像、记录资料；</w:t>
      </w:r>
    </w:p>
    <w:p w14:paraId="7547313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举一反三整改：同类点位全面排查，杜绝重复隐患产生。</w:t>
      </w:r>
    </w:p>
    <w:p w14:paraId="2EBBA8B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eastAsia="zh-CN"/>
        </w:rPr>
        <w:t>（三）</w:t>
      </w:r>
      <w:r>
        <w:rPr>
          <w:rFonts w:hint="eastAsia" w:ascii="宋体" w:hAnsi="宋体" w:eastAsia="宋体" w:cs="宋体"/>
          <w:sz w:val="30"/>
          <w:szCs w:val="30"/>
        </w:rPr>
        <w:t>重大环境风险专项管控措施</w:t>
      </w:r>
    </w:p>
    <w:p w14:paraId="36E76D0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1.</w:t>
      </w:r>
      <w:r>
        <w:rPr>
          <w:rFonts w:hint="eastAsia" w:ascii="宋体" w:hAnsi="宋体" w:eastAsia="宋体" w:cs="宋体"/>
          <w:sz w:val="30"/>
          <w:szCs w:val="30"/>
        </w:rPr>
        <w:t>强酸储罐及酸解工段水环境重大风险管控</w:t>
      </w:r>
    </w:p>
    <w:p w14:paraId="32F504C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所有硫酸储罐区域设置防腐防渗围堰，围堰高度不低于1.2m，整体做环氧树脂防腐+HDPE防渗处理，设置导流沟，全部接入应急事故池；</w:t>
      </w:r>
    </w:p>
    <w:p w14:paraId="6B03EC7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0"/>
        <w:textAlignment w:val="auto"/>
        <w:rPr>
          <w:rFonts w:hint="eastAsia" w:ascii="宋体" w:hAnsi="宋体" w:eastAsia="宋体" w:cs="宋体"/>
          <w:sz w:val="30"/>
          <w:szCs w:val="30"/>
        </w:rPr>
      </w:pPr>
    </w:p>
    <w:p w14:paraId="141A9CC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储罐安装液位在线监测、高低位报警装置，配备应急抽排泵，突发泄漏可快速收集、就地中和；</w:t>
      </w:r>
    </w:p>
    <w:p w14:paraId="7FADFC1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rPr>
        <w:t>硼泥堆场固废及渗滤液重大风险管控</w:t>
      </w:r>
    </w:p>
    <w:p w14:paraId="266357D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硼泥堆场全覆盖铺设HDPE防渗膜（厚度≥2.0mm），配套防雨封闭顶棚、四周截水沟、渗滤液收集池；</w:t>
      </w:r>
    </w:p>
    <w:p w14:paraId="3144F4A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硼泥规范堆存，严禁超库容、超高堆放，优先对接综合利用单位（制建材、修路），无法利用的转运至合规Ⅰ类固废填埋场；</w:t>
      </w:r>
    </w:p>
    <w:p w14:paraId="17584BC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建立硼泥产生、贮存、转运、处置全流程台账，做到账物相符、来源去向可追溯。</w:t>
      </w:r>
    </w:p>
    <w:p w14:paraId="39EE08A9">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2.</w:t>
      </w:r>
      <w:r>
        <w:rPr>
          <w:rFonts w:hint="eastAsia" w:ascii="宋体" w:hAnsi="宋体" w:eastAsia="宋体" w:cs="宋体"/>
          <w:sz w:val="30"/>
          <w:szCs w:val="30"/>
        </w:rPr>
        <w:t>土壤及地下水防渗长效风险管控</w:t>
      </w:r>
    </w:p>
    <w:p w14:paraId="7EC5B60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生产车间、储罐区、应急池、堆场全域实行分区防渗，重点区域为重点防渗区，其余为一般防渗区；</w:t>
      </w:r>
    </w:p>
    <w:p w14:paraId="49F528D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每半年开展一次防渗层完整性检测，发现破损立即修补重做，杜绝渗滤液下渗；</w:t>
      </w:r>
    </w:p>
    <w:p w14:paraId="65C203A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厂区布设地下水监测体系：上游对照井1座、下游监控井2座，每季度监测总硼、pH、硫酸盐指标，建立长期监测档案；</w:t>
      </w:r>
    </w:p>
    <w:p w14:paraId="3FB860D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严禁厂区物料随意洒落、污水漫流，每日清理地面残留酸液、矿粉，从源头减少土壤污染。</w:t>
      </w:r>
    </w:p>
    <w:p w14:paraId="6727F5A0">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建立废气治理设备运维台账，故障立即停机检修，严禁设备带病运行、废气直排。</w:t>
      </w:r>
    </w:p>
    <w:p w14:paraId="2700985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3.</w:t>
      </w:r>
      <w:r>
        <w:rPr>
          <w:rFonts w:hint="eastAsia" w:ascii="宋体" w:hAnsi="宋体" w:eastAsia="宋体" w:cs="宋体"/>
          <w:sz w:val="30"/>
          <w:szCs w:val="30"/>
        </w:rPr>
        <w:t>环境应急重大风险管控</w:t>
      </w:r>
    </w:p>
    <w:p w14:paraId="19609A6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常态化储备应急物资：生石灰、片碱、吸酸棉、应急泵、防渗沙袋、个人防护用品等，定期更换过期物资；</w:t>
      </w:r>
    </w:p>
    <w:p w14:paraId="4E4217D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突发环境事件应急预案按规定评审、备案，每年至少开展1次泄漏、超标排放实战应急演练，留存演练记录、评估报告；</w:t>
      </w:r>
    </w:p>
    <w:p w14:paraId="7C9B450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建立企业+园区+属地环保部门应急联动机制，突发险情第一时间上报、处置，严控污染扩散。</w:t>
      </w:r>
    </w:p>
    <w:p w14:paraId="70B0698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eastAsia="zh-CN"/>
        </w:rPr>
        <w:t>（四）</w:t>
      </w:r>
      <w:r>
        <w:rPr>
          <w:rFonts w:hint="eastAsia" w:ascii="宋体" w:hAnsi="宋体" w:eastAsia="宋体" w:cs="宋体"/>
          <w:sz w:val="30"/>
          <w:szCs w:val="30"/>
        </w:rPr>
        <w:t>长效管理保障措施</w:t>
      </w:r>
    </w:p>
    <w:p w14:paraId="1693A52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设立专职环保管理人员，明确车间、班组、岗位环境风险管控责任，层层落实环保责任制；</w:t>
      </w:r>
    </w:p>
    <w:p w14:paraId="15D0332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建立隐患排查、设备运维、三废管理、监测预警、应急管理全套管理制度，常态化执行；</w:t>
      </w:r>
    </w:p>
    <w:p w14:paraId="67FF8CA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600" w:firstLineChars="200"/>
        <w:textAlignment w:val="auto"/>
        <w:rPr>
          <w:rFonts w:hint="eastAsia" w:ascii="宋体" w:hAnsi="宋体" w:eastAsia="宋体" w:cs="宋体"/>
          <w:sz w:val="30"/>
          <w:szCs w:val="30"/>
        </w:rPr>
      </w:pPr>
      <w:r>
        <w:rPr>
          <w:rFonts w:hint="eastAsia" w:ascii="宋体" w:hAnsi="宋体" w:eastAsia="宋体" w:cs="宋体"/>
          <w:sz w:val="30"/>
          <w:szCs w:val="30"/>
          <w:lang w:val="en-US" w:eastAsia="zh-CN"/>
        </w:rPr>
        <w:t>废气、地下水按规范开展自行监测，留存监测数据，异常数据立即溯源整改；</w:t>
      </w:r>
    </w:p>
    <w:p w14:paraId="73330BEC">
      <w:pPr>
        <w:widowControl w:val="0"/>
        <w:numPr>
          <w:numId w:val="0"/>
        </w:numPr>
        <w:ind w:firstLine="600" w:firstLineChars="200"/>
        <w:jc w:val="both"/>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定期开展员工环境风险、隐患识别、应急处置培训，提升全员环保风险防控能力。</w:t>
      </w:r>
    </w:p>
    <w:p w14:paraId="28C3AC25">
      <w:pPr>
        <w:widowControl w:val="0"/>
        <w:numPr>
          <w:ilvl w:val="0"/>
          <w:numId w:val="0"/>
        </w:numPr>
        <w:ind w:left="0" w:leftChars="0" w:firstLine="600" w:firstLineChars="200"/>
        <w:jc w:val="both"/>
        <w:rPr>
          <w:rFonts w:hint="eastAsia" w:ascii="宋体" w:hAnsi="宋体" w:eastAsia="宋体" w:cs="宋体"/>
          <w:sz w:val="30"/>
          <w:szCs w:val="30"/>
          <w:lang w:val="en-US" w:eastAsia="zh-CN"/>
        </w:rPr>
      </w:pPr>
      <w:r>
        <w:rPr>
          <w:rFonts w:hint="eastAsia" w:ascii="宋体" w:hAnsi="宋体" w:eastAsia="宋体" w:cs="宋体"/>
          <w:kern w:val="2"/>
          <w:sz w:val="30"/>
          <w:szCs w:val="30"/>
          <w:lang w:val="en-US" w:eastAsia="zh-CN" w:bidi="ar-SA"/>
        </w:rPr>
        <w:t>（二）</w:t>
      </w:r>
      <w:r>
        <w:rPr>
          <w:rFonts w:hint="eastAsia" w:ascii="宋体" w:hAnsi="宋体" w:eastAsia="宋体" w:cs="宋体"/>
          <w:sz w:val="30"/>
          <w:szCs w:val="30"/>
          <w:lang w:val="en-US" w:eastAsia="zh-CN"/>
        </w:rPr>
        <w:t>突发环境事件应急预案备案情况、应急物资、应急演练</w:t>
      </w:r>
    </w:p>
    <w:p w14:paraId="2C22AB77">
      <w:pPr>
        <w:widowControl w:val="0"/>
        <w:numPr>
          <w:numId w:val="0"/>
        </w:numPr>
        <w:ind w:leftChars="200"/>
        <w:jc w:val="both"/>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突发环境事件应急预案备案情况：</w:t>
      </w:r>
    </w:p>
    <w:p w14:paraId="19686595">
      <w:pPr>
        <w:widowControl w:val="0"/>
        <w:numPr>
          <w:numId w:val="0"/>
        </w:numPr>
        <w:ind w:leftChars="200"/>
        <w:jc w:val="both"/>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备案机关：大柴旦行委生态环境局</w:t>
      </w:r>
    </w:p>
    <w:p w14:paraId="13652380">
      <w:pPr>
        <w:widowControl w:val="0"/>
        <w:numPr>
          <w:numId w:val="0"/>
        </w:numPr>
        <w:ind w:leftChars="200"/>
        <w:jc w:val="both"/>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备案编号：632824-2025-36-L</w:t>
      </w:r>
    </w:p>
    <w:p w14:paraId="703B4CEF">
      <w:pPr>
        <w:widowControl w:val="0"/>
        <w:numPr>
          <w:numId w:val="0"/>
        </w:numPr>
        <w:ind w:leftChars="200"/>
        <w:jc w:val="both"/>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应急物资：</w:t>
      </w:r>
    </w:p>
    <w:p w14:paraId="73EF9FE0">
      <w:pPr>
        <w:widowControl w:val="0"/>
        <w:numPr>
          <w:numId w:val="0"/>
        </w:numPr>
        <w:jc w:val="both"/>
        <w:rPr>
          <w:rFonts w:hint="eastAsia" w:ascii="宋体" w:hAnsi="宋体" w:eastAsia="宋体" w:cs="宋体"/>
          <w:sz w:val="30"/>
          <w:szCs w:val="30"/>
          <w:lang w:val="en-US" w:eastAsia="zh-CN"/>
        </w:rPr>
      </w:pPr>
    </w:p>
    <w:tbl>
      <w:tblPr>
        <w:tblW w:w="8287"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600"/>
        <w:gridCol w:w="1710"/>
        <w:gridCol w:w="1192"/>
        <w:gridCol w:w="1605"/>
        <w:gridCol w:w="1440"/>
        <w:gridCol w:w="1740"/>
      </w:tblGrid>
      <w:tr w14:paraId="42E655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80" w:hRule="atLeast"/>
        </w:trPr>
        <w:tc>
          <w:tcPr>
            <w:tcW w:w="600" w:type="dxa"/>
            <w:tcBorders>
              <w:top w:val="single" w:color="000000" w:sz="4" w:space="0"/>
              <w:left w:val="single" w:color="000000" w:sz="4" w:space="0"/>
              <w:bottom w:val="single" w:color="000000" w:sz="4" w:space="0"/>
              <w:right w:val="single" w:color="000000" w:sz="4" w:space="0"/>
            </w:tcBorders>
            <w:shd w:val="clear"/>
            <w:vAlign w:val="center"/>
          </w:tcPr>
          <w:p w14:paraId="667942B9">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类别</w:t>
            </w: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5D50867F">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物资名称</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0E7CE61E">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数量</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252A4CB0">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位置</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2CEDDEFC">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完好情况</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58330BBE">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bdr w:val="none" w:color="auto" w:sz="0" w:space="0"/>
                <w:lang w:val="en-US" w:eastAsia="zh-CN" w:bidi="ar"/>
              </w:rPr>
              <w:t>管理员</w:t>
            </w:r>
          </w:p>
        </w:tc>
      </w:tr>
      <w:tr w14:paraId="08B7F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restart"/>
            <w:tcBorders>
              <w:top w:val="single" w:color="000000" w:sz="4" w:space="0"/>
              <w:left w:val="single" w:color="000000" w:sz="4" w:space="0"/>
              <w:bottom w:val="single" w:color="000000" w:sz="4" w:space="0"/>
              <w:right w:val="single" w:color="000000" w:sz="4" w:space="0"/>
            </w:tcBorders>
            <w:shd w:val="clear"/>
            <w:textDirection w:val="tbRlV"/>
            <w:vAlign w:val="center"/>
          </w:tcPr>
          <w:p w14:paraId="73CB34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应急通信 保障</w:t>
            </w: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04FC47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对讲机</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57D88C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2部</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35DB046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08190BE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44EC7E1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2682D2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54BBEE88">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11CC24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扬声器</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75C2BDE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324228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480EC4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1503A0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7C86D0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69B0D3C7">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5A6AC8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电话机</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1845110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1部</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11AA6C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780F26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2F9BCE3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3D6987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restart"/>
            <w:tcBorders>
              <w:top w:val="single" w:color="000000" w:sz="4" w:space="0"/>
              <w:left w:val="single" w:color="000000" w:sz="4" w:space="0"/>
              <w:bottom w:val="single" w:color="000000" w:sz="4" w:space="0"/>
              <w:right w:val="single" w:color="000000" w:sz="4" w:space="0"/>
            </w:tcBorders>
            <w:shd w:val="clear"/>
            <w:textDirection w:val="tbRlV"/>
            <w:vAlign w:val="center"/>
          </w:tcPr>
          <w:p w14:paraId="0098DFD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个体防护物质</w:t>
            </w: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01C2DB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防毒面罩</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3C5BF90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1544A5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637E8AC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063AEF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0FA7A6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415CD8A1">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46B8705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护目镜</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18C88C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41A230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3BEFD3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386B2A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39E70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2A9671C9">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6D2D2C8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耐酸手套</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7F2CC7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10副</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2D79E7E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4A86E84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4084F1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54F9AE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3298B6DD">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0694E5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耐酸长筒靴</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66B70C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10双</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3537BAC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57E053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380951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75587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3B54AAF3">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07E2EA2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安全帽</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6E1AB4C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10顶</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0DB7633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4D08459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3657D5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6BED8B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443C573D">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6520F3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耐酸防护服</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16E017D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2套</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4C23B2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6F0CAC2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47A8CB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204C9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34251216">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196A7C8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医疗箱</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332CDDA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4527CDB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0EF1D5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4C2743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4E0471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restart"/>
            <w:tcBorders>
              <w:top w:val="single" w:color="000000" w:sz="4" w:space="0"/>
              <w:left w:val="single" w:color="000000" w:sz="4" w:space="0"/>
              <w:bottom w:val="single" w:color="000000" w:sz="4" w:space="0"/>
              <w:right w:val="single" w:color="000000" w:sz="4" w:space="0"/>
            </w:tcBorders>
            <w:shd w:val="clear"/>
            <w:textDirection w:val="tbRlV"/>
            <w:vAlign w:val="center"/>
          </w:tcPr>
          <w:p w14:paraId="102692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医疗物资</w:t>
            </w: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7111DB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创可贴</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460D0D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40个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71A41E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368CC85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408B41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1243B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48BF815E">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64DF3D5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云南白药</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71439E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2瓶</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09E380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365FD12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56CB47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3E7347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368D3981">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52E23F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酒精</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098DF24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2瓶</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0F123CE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0234F0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7856D5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048265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63B0CE3E">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5E5857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烫伤膏</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1169C7F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2盒</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2EF171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5FBF32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5F33A47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52274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63EAAB01">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3F57030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速效救心丸</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463101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2盒</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1C8CDE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74D20D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1CB5164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749A4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47FF2EF2">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0D073E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复方丹参滴丸</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0D41343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2盒</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6FBAC9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20EE57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0B6F911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335D7A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011669D8">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56B185C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担架</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73E8624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1付</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38FDCD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中控室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5E5791D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3A51D54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4C6E09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4E01CF0A">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1C17BDE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红外线测温器</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43E086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7FC598B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5248EB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20A2805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2F4D0A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54073470">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2541CCB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其它药品</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3926A01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若干</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0ECABC2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762EB9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41D770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4F5898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restart"/>
            <w:tcBorders>
              <w:top w:val="single" w:color="000000" w:sz="4" w:space="0"/>
              <w:left w:val="single" w:color="000000" w:sz="4" w:space="0"/>
              <w:bottom w:val="single" w:color="000000" w:sz="4" w:space="0"/>
              <w:right w:val="single" w:color="000000" w:sz="4" w:space="0"/>
            </w:tcBorders>
            <w:shd w:val="clear"/>
            <w:textDirection w:val="tbRlV"/>
            <w:vAlign w:val="center"/>
          </w:tcPr>
          <w:p w14:paraId="356C15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应急消防装备</w:t>
            </w: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78BB04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消防铁锨</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29A9BE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10把</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0910573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7E4655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736534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641987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1408FF4C">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715F39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消防桶</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0E44A1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770417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3BE2F86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630054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12024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3E6AD859">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3B46661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消防带</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10EB7A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4个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7251786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2B3F3C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75E7378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0A6417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25288D28">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0F98140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值班车</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30E0A6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1辆</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4939294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332FA8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41D1389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25D9E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4DC5ADC9">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0CE9FD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装载机</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4106D3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1辆</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1F230E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3C3034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7B06E9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429C0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2CC84E7E">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60AAE58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洗眼器</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3A54F75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1BBF78B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6A51C1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2C0ED9F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05685A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1BF03DF5">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4AECC99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应急灯</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4486216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10个</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67B4AF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4C7689F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26E159E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29502B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7B29C7E4">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7000197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消防沙</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629C3B3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2吨</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7632677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2337697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147B405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18A0E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6A62F8DA">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63C094F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中和用硼矿</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1B32F8D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2吨</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3C93281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车间</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5AB2F18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1173307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r w14:paraId="666537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600" w:type="dxa"/>
            <w:vMerge w:val="continue"/>
            <w:tcBorders>
              <w:top w:val="single" w:color="000000" w:sz="4" w:space="0"/>
              <w:left w:val="single" w:color="000000" w:sz="4" w:space="0"/>
              <w:bottom w:val="single" w:color="000000" w:sz="4" w:space="0"/>
              <w:right w:val="single" w:color="000000" w:sz="4" w:space="0"/>
            </w:tcBorders>
            <w:shd w:val="clear"/>
            <w:textDirection w:val="tbRlV"/>
            <w:vAlign w:val="center"/>
          </w:tcPr>
          <w:p w14:paraId="6666544D">
            <w:pPr>
              <w:jc w:val="center"/>
              <w:rPr>
                <w:rFonts w:hint="eastAsia" w:ascii="宋体" w:hAnsi="宋体" w:eastAsia="宋体" w:cs="宋体"/>
                <w:i w:val="0"/>
                <w:iCs w:val="0"/>
                <w:color w:val="000000"/>
                <w:sz w:val="22"/>
                <w:szCs w:val="22"/>
                <w:u w:val="none"/>
              </w:rPr>
            </w:pPr>
          </w:p>
        </w:tc>
        <w:tc>
          <w:tcPr>
            <w:tcW w:w="1710" w:type="dxa"/>
            <w:tcBorders>
              <w:top w:val="single" w:color="000000" w:sz="4" w:space="0"/>
              <w:left w:val="single" w:color="000000" w:sz="4" w:space="0"/>
              <w:bottom w:val="single" w:color="000000" w:sz="4" w:space="0"/>
              <w:right w:val="single" w:color="000000" w:sz="4" w:space="0"/>
            </w:tcBorders>
            <w:shd w:val="clear"/>
            <w:vAlign w:val="center"/>
          </w:tcPr>
          <w:p w14:paraId="135824B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担架</w:t>
            </w:r>
          </w:p>
        </w:tc>
        <w:tc>
          <w:tcPr>
            <w:tcW w:w="1192" w:type="dxa"/>
            <w:tcBorders>
              <w:top w:val="single" w:color="000000" w:sz="4" w:space="0"/>
              <w:left w:val="single" w:color="000000" w:sz="4" w:space="0"/>
              <w:bottom w:val="single" w:color="000000" w:sz="4" w:space="0"/>
              <w:right w:val="single" w:color="000000" w:sz="4" w:space="0"/>
            </w:tcBorders>
            <w:shd w:val="clear"/>
            <w:vAlign w:val="center"/>
          </w:tcPr>
          <w:p w14:paraId="24600A3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1副</w:t>
            </w:r>
          </w:p>
        </w:tc>
        <w:tc>
          <w:tcPr>
            <w:tcW w:w="1605" w:type="dxa"/>
            <w:tcBorders>
              <w:top w:val="single" w:color="000000" w:sz="4" w:space="0"/>
              <w:left w:val="single" w:color="000000" w:sz="4" w:space="0"/>
              <w:bottom w:val="single" w:color="000000" w:sz="4" w:space="0"/>
              <w:right w:val="single" w:color="000000" w:sz="4" w:space="0"/>
            </w:tcBorders>
            <w:shd w:val="clear"/>
            <w:vAlign w:val="center"/>
          </w:tcPr>
          <w:p w14:paraId="29D0AB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办公室</w:t>
            </w:r>
          </w:p>
        </w:tc>
        <w:tc>
          <w:tcPr>
            <w:tcW w:w="1440" w:type="dxa"/>
            <w:tcBorders>
              <w:top w:val="single" w:color="000000" w:sz="4" w:space="0"/>
              <w:left w:val="single" w:color="000000" w:sz="4" w:space="0"/>
              <w:bottom w:val="single" w:color="000000" w:sz="4" w:space="0"/>
              <w:right w:val="single" w:color="000000" w:sz="4" w:space="0"/>
            </w:tcBorders>
            <w:shd w:val="clear"/>
            <w:vAlign w:val="center"/>
          </w:tcPr>
          <w:p w14:paraId="0B2875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完好</w:t>
            </w:r>
          </w:p>
        </w:tc>
        <w:tc>
          <w:tcPr>
            <w:tcW w:w="1740" w:type="dxa"/>
            <w:tcBorders>
              <w:top w:val="single" w:color="000000" w:sz="4" w:space="0"/>
              <w:left w:val="single" w:color="000000" w:sz="4" w:space="0"/>
              <w:bottom w:val="single" w:color="000000" w:sz="4" w:space="0"/>
              <w:right w:val="single" w:color="000000" w:sz="4" w:space="0"/>
            </w:tcBorders>
            <w:shd w:val="clear"/>
            <w:vAlign w:val="center"/>
          </w:tcPr>
          <w:p w14:paraId="653A11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赵芳</w:t>
            </w:r>
          </w:p>
        </w:tc>
      </w:tr>
    </w:tbl>
    <w:p w14:paraId="0C3B3EAE">
      <w:pPr>
        <w:widowControl w:val="0"/>
        <w:numPr>
          <w:ilvl w:val="0"/>
          <w:numId w:val="0"/>
        </w:numPr>
        <w:ind w:firstLine="600" w:firstLineChars="200"/>
        <w:jc w:val="both"/>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应急演练：</w:t>
      </w:r>
    </w:p>
    <w:p w14:paraId="0EAA1F08">
      <w:pPr>
        <w:keepNext w:val="0"/>
        <w:keepLines w:val="0"/>
        <w:pageBreakBefore w:val="0"/>
        <w:widowControl w:val="0"/>
        <w:kinsoku/>
        <w:wordWrap/>
        <w:overflowPunct/>
        <w:topLinePunct w:val="0"/>
        <w:autoSpaceDE/>
        <w:autoSpaceDN/>
        <w:bidi w:val="0"/>
        <w:adjustRightInd/>
        <w:snapToGrid/>
        <w:spacing w:line="240" w:lineRule="auto"/>
        <w:ind w:firstLine="2400" w:firstLineChars="800"/>
        <w:jc w:val="both"/>
        <w:textAlignment w:val="auto"/>
        <w:rPr>
          <w:rFonts w:hint="eastAsia" w:ascii="宋体" w:hAnsi="宋体" w:eastAsia="宋体" w:cs="宋体"/>
          <w:b/>
          <w:sz w:val="30"/>
          <w:szCs w:val="30"/>
          <w:lang w:val="en-US" w:eastAsia="zh-CN"/>
        </w:rPr>
      </w:pPr>
      <w:r>
        <w:rPr>
          <w:rFonts w:hint="eastAsia" w:ascii="宋体" w:hAnsi="宋体" w:eastAsia="宋体" w:cs="宋体"/>
          <w:b/>
          <w:sz w:val="30"/>
          <w:szCs w:val="30"/>
        </w:rPr>
        <w:t>大柴旦海通矿业有限公司</w:t>
      </w:r>
    </w:p>
    <w:p w14:paraId="5FA4148E">
      <w:pPr>
        <w:keepNext w:val="0"/>
        <w:keepLines w:val="0"/>
        <w:pageBreakBefore w:val="0"/>
        <w:widowControl w:val="0"/>
        <w:kinsoku/>
        <w:wordWrap/>
        <w:overflowPunct/>
        <w:topLinePunct w:val="0"/>
        <w:autoSpaceDE/>
        <w:autoSpaceDN/>
        <w:bidi w:val="0"/>
        <w:adjustRightInd/>
        <w:snapToGrid/>
        <w:spacing w:line="240" w:lineRule="auto"/>
        <w:ind w:firstLine="450" w:firstLineChars="150"/>
        <w:jc w:val="center"/>
        <w:textAlignment w:val="auto"/>
        <w:rPr>
          <w:rFonts w:hint="eastAsia" w:ascii="宋体" w:hAnsi="宋体" w:eastAsia="宋体" w:cs="宋体"/>
          <w:color w:val="000000" w:themeColor="text1"/>
          <w:kern w:val="0"/>
          <w:sz w:val="30"/>
          <w:szCs w:val="30"/>
          <w:lang w:val="en-US" w:eastAsia="zh-CN"/>
          <w14:textFill>
            <w14:solidFill>
              <w14:schemeClr w14:val="tx1"/>
            </w14:solidFill>
          </w14:textFill>
        </w:rPr>
      </w:pPr>
      <w:r>
        <w:rPr>
          <w:rFonts w:hint="eastAsia" w:ascii="宋体" w:hAnsi="宋体" w:eastAsia="宋体" w:cs="宋体"/>
          <w:b/>
          <w:bCs w:val="0"/>
          <w:sz w:val="30"/>
          <w:szCs w:val="30"/>
          <w:lang w:eastAsia="zh-CN"/>
        </w:rPr>
        <w:t>硫酸泄漏事故</w:t>
      </w:r>
      <w:r>
        <w:rPr>
          <w:rFonts w:hint="eastAsia" w:ascii="宋体" w:hAnsi="宋体" w:eastAsia="宋体" w:cs="宋体"/>
          <w:b/>
          <w:bCs/>
          <w:sz w:val="30"/>
          <w:szCs w:val="30"/>
        </w:rPr>
        <w:t>现场处置</w:t>
      </w:r>
      <w:r>
        <w:rPr>
          <w:rFonts w:hint="eastAsia" w:ascii="宋体" w:hAnsi="宋体" w:eastAsia="宋体" w:cs="宋体"/>
          <w:b/>
          <w:bCs/>
          <w:sz w:val="30"/>
          <w:szCs w:val="30"/>
          <w:lang w:eastAsia="zh-CN"/>
        </w:rPr>
        <w:t>应急</w:t>
      </w:r>
      <w:r>
        <w:rPr>
          <w:rFonts w:hint="eastAsia" w:ascii="宋体" w:hAnsi="宋体" w:eastAsia="宋体" w:cs="宋体"/>
          <w:b/>
          <w:bCs/>
          <w:sz w:val="30"/>
          <w:szCs w:val="30"/>
        </w:rPr>
        <w:t>演练</w:t>
      </w:r>
      <w:bookmarkStart w:id="3" w:name="_Toc1462"/>
      <w:bookmarkStart w:id="4" w:name="_Toc103417073"/>
    </w:p>
    <w:p w14:paraId="7A0D5C02">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r>
        <w:rPr>
          <w:rFonts w:hint="eastAsia" w:ascii="宋体" w:hAnsi="宋体" w:eastAsia="宋体" w:cs="宋体"/>
          <w:b/>
          <w:bCs/>
          <w:color w:val="000000" w:themeColor="text1"/>
          <w:kern w:val="0"/>
          <w:sz w:val="30"/>
          <w:szCs w:val="30"/>
          <w:lang w:val="en-US" w:eastAsia="zh-CN"/>
          <w14:textFill>
            <w14:solidFill>
              <w14:schemeClr w14:val="tx1"/>
            </w14:solidFill>
          </w14:textFill>
        </w:rPr>
        <w:t>一、</w:t>
      </w:r>
      <w:r>
        <w:rPr>
          <w:rFonts w:hint="eastAsia" w:ascii="宋体" w:hAnsi="宋体" w:eastAsia="宋体" w:cs="宋体"/>
          <w:b/>
          <w:bCs/>
          <w:color w:val="000000" w:themeColor="text1"/>
          <w:kern w:val="0"/>
          <w:sz w:val="30"/>
          <w:szCs w:val="30"/>
          <w14:textFill>
            <w14:solidFill>
              <w14:schemeClr w14:val="tx1"/>
            </w14:solidFill>
          </w14:textFill>
        </w:rPr>
        <w:t>演练目的：</w:t>
      </w:r>
      <w:bookmarkEnd w:id="3"/>
      <w:bookmarkEnd w:id="4"/>
    </w:p>
    <w:p w14:paraId="2AA51D38">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规范</w:t>
      </w:r>
      <w:r>
        <w:rPr>
          <w:rFonts w:hint="eastAsia" w:ascii="宋体" w:hAnsi="宋体" w:eastAsia="宋体" w:cs="宋体"/>
          <w:color w:val="000000" w:themeColor="text1"/>
          <w:kern w:val="0"/>
          <w:sz w:val="30"/>
          <w:szCs w:val="30"/>
          <w:lang w:eastAsia="zh-CN"/>
          <w14:textFill>
            <w14:solidFill>
              <w14:schemeClr w14:val="tx1"/>
            </w14:solidFill>
          </w14:textFill>
        </w:rPr>
        <w:t>公司</w:t>
      </w:r>
      <w:r>
        <w:rPr>
          <w:rFonts w:hint="eastAsia" w:ascii="宋体" w:hAnsi="宋体" w:eastAsia="宋体" w:cs="宋体"/>
          <w:color w:val="000000" w:themeColor="text1"/>
          <w:kern w:val="0"/>
          <w:sz w:val="30"/>
          <w:szCs w:val="30"/>
          <w14:textFill>
            <w14:solidFill>
              <w14:schemeClr w14:val="tx1"/>
            </w14:solidFill>
          </w14:textFill>
        </w:rPr>
        <w:t>硫酸泄漏现场的处置流程，确保泄漏事故得到及时、有效的处理，防止事故扩大，保障员工的</w:t>
      </w:r>
      <w:r>
        <w:rPr>
          <w:rFonts w:hint="eastAsia" w:ascii="宋体" w:hAnsi="宋体" w:eastAsia="宋体" w:cs="宋体"/>
          <w:color w:val="000000" w:themeColor="text1"/>
          <w:kern w:val="0"/>
          <w:sz w:val="30"/>
          <w:szCs w:val="30"/>
          <w:lang w:eastAsia="zh-CN"/>
          <w14:textFill>
            <w14:solidFill>
              <w14:schemeClr w14:val="tx1"/>
            </w14:solidFill>
          </w14:textFill>
        </w:rPr>
        <w:t>生命</w:t>
      </w:r>
      <w:r>
        <w:rPr>
          <w:rFonts w:hint="eastAsia" w:ascii="宋体" w:hAnsi="宋体" w:eastAsia="宋体" w:cs="宋体"/>
          <w:color w:val="000000" w:themeColor="text1"/>
          <w:kern w:val="0"/>
          <w:sz w:val="30"/>
          <w:szCs w:val="30"/>
          <w14:textFill>
            <w14:solidFill>
              <w14:schemeClr w14:val="tx1"/>
            </w14:solidFill>
          </w14:textFill>
        </w:rPr>
        <w:t>安全</w:t>
      </w:r>
      <w:r>
        <w:rPr>
          <w:rFonts w:hint="eastAsia" w:ascii="宋体" w:hAnsi="宋体" w:eastAsia="宋体" w:cs="宋体"/>
          <w:color w:val="000000" w:themeColor="text1"/>
          <w:kern w:val="0"/>
          <w:sz w:val="30"/>
          <w:szCs w:val="30"/>
          <w:lang w:eastAsia="zh-CN"/>
          <w14:textFill>
            <w14:solidFill>
              <w14:schemeClr w14:val="tx1"/>
            </w14:solidFill>
          </w14:textFill>
        </w:rPr>
        <w:t>，有效防止对生态环境的污染</w:t>
      </w:r>
      <w:r>
        <w:rPr>
          <w:rFonts w:hint="eastAsia" w:ascii="宋体" w:hAnsi="宋体" w:eastAsia="宋体" w:cs="宋体"/>
          <w:color w:val="000000" w:themeColor="text1"/>
          <w:kern w:val="0"/>
          <w:sz w:val="30"/>
          <w:szCs w:val="30"/>
          <w14:textFill>
            <w14:solidFill>
              <w14:schemeClr w14:val="tx1"/>
            </w14:solidFill>
          </w14:textFill>
        </w:rPr>
        <w:t>。</w:t>
      </w:r>
    </w:p>
    <w:p w14:paraId="582C6A87">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bookmarkStart w:id="5" w:name="_Toc103417074"/>
      <w:r>
        <w:rPr>
          <w:rFonts w:hint="eastAsia" w:ascii="宋体" w:hAnsi="宋体" w:eastAsia="宋体" w:cs="宋体"/>
          <w:b/>
          <w:bCs/>
          <w:color w:val="000000" w:themeColor="text1"/>
          <w:kern w:val="0"/>
          <w:sz w:val="30"/>
          <w:szCs w:val="30"/>
          <w14:textFill>
            <w14:solidFill>
              <w14:schemeClr w14:val="tx1"/>
            </w14:solidFill>
          </w14:textFill>
        </w:rPr>
        <w:t>二、危险性分析</w:t>
      </w:r>
      <w:bookmarkEnd w:id="5"/>
    </w:p>
    <w:p w14:paraId="0269388C">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硫酸泄漏</w:t>
      </w:r>
      <w:r>
        <w:rPr>
          <w:rFonts w:hint="eastAsia" w:ascii="宋体" w:hAnsi="宋体" w:eastAsia="宋体" w:cs="宋体"/>
          <w:color w:val="000000" w:themeColor="text1"/>
          <w:kern w:val="0"/>
          <w:sz w:val="30"/>
          <w:szCs w:val="30"/>
          <w:lang w:eastAsia="zh-CN"/>
          <w14:textFill>
            <w14:solidFill>
              <w14:schemeClr w14:val="tx1"/>
            </w14:solidFill>
          </w14:textFill>
        </w:rPr>
        <w:t>会导致人员</w:t>
      </w:r>
      <w:r>
        <w:rPr>
          <w:rFonts w:hint="eastAsia" w:ascii="宋体" w:hAnsi="宋体" w:eastAsia="宋体" w:cs="宋体"/>
          <w:color w:val="000000" w:themeColor="text1"/>
          <w:kern w:val="0"/>
          <w:sz w:val="30"/>
          <w:szCs w:val="30"/>
          <w14:textFill>
            <w14:solidFill>
              <w14:schemeClr w14:val="tx1"/>
            </w14:solidFill>
          </w14:textFill>
        </w:rPr>
        <w:t>灼烫的风险</w:t>
      </w:r>
      <w:r>
        <w:rPr>
          <w:rFonts w:hint="eastAsia" w:ascii="宋体" w:hAnsi="宋体" w:eastAsia="宋体" w:cs="宋体"/>
          <w:color w:val="000000" w:themeColor="text1"/>
          <w:kern w:val="0"/>
          <w:sz w:val="30"/>
          <w:szCs w:val="30"/>
          <w:lang w:eastAsia="zh-CN"/>
          <w14:textFill>
            <w14:solidFill>
              <w14:schemeClr w14:val="tx1"/>
            </w14:solidFill>
          </w14:textFill>
        </w:rPr>
        <w:t>，对生态环境造成污染。</w:t>
      </w:r>
      <w:bookmarkStart w:id="6" w:name="_Toc103417075"/>
    </w:p>
    <w:p w14:paraId="13815421">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r>
        <w:rPr>
          <w:rFonts w:hint="eastAsia" w:ascii="宋体" w:hAnsi="宋体" w:eastAsia="宋体" w:cs="宋体"/>
          <w:b/>
          <w:bCs/>
          <w:color w:val="000000" w:themeColor="text1"/>
          <w:kern w:val="0"/>
          <w:sz w:val="30"/>
          <w:szCs w:val="30"/>
          <w14:textFill>
            <w14:solidFill>
              <w14:schemeClr w14:val="tx1"/>
            </w14:solidFill>
          </w14:textFill>
        </w:rPr>
        <w:t>三、演练人员</w:t>
      </w:r>
      <w:bookmarkEnd w:id="6"/>
    </w:p>
    <w:p w14:paraId="40B7A21D">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公司各部门负责人、现场全体员工。</w:t>
      </w:r>
    </w:p>
    <w:p w14:paraId="7880DC4D">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bookmarkStart w:id="7" w:name="_Toc103417076"/>
      <w:r>
        <w:rPr>
          <w:rFonts w:hint="eastAsia" w:ascii="宋体" w:hAnsi="宋体" w:eastAsia="宋体" w:cs="宋体"/>
          <w:b/>
          <w:bCs/>
          <w:color w:val="000000" w:themeColor="text1"/>
          <w:kern w:val="0"/>
          <w:sz w:val="30"/>
          <w:szCs w:val="30"/>
          <w:lang w:eastAsia="zh-CN"/>
          <w14:textFill>
            <w14:solidFill>
              <w14:schemeClr w14:val="tx1"/>
            </w14:solidFill>
          </w14:textFill>
        </w:rPr>
        <w:t>四、</w:t>
      </w:r>
      <w:r>
        <w:rPr>
          <w:rFonts w:hint="eastAsia" w:ascii="宋体" w:hAnsi="宋体" w:eastAsia="宋体" w:cs="宋体"/>
          <w:b/>
          <w:bCs/>
          <w:color w:val="000000" w:themeColor="text1"/>
          <w:kern w:val="0"/>
          <w:sz w:val="30"/>
          <w:szCs w:val="30"/>
          <w14:textFill>
            <w14:solidFill>
              <w14:schemeClr w14:val="tx1"/>
            </w14:solidFill>
          </w14:textFill>
        </w:rPr>
        <w:t>应急演练组织体系和职责划分</w:t>
      </w:r>
      <w:bookmarkEnd w:id="7"/>
    </w:p>
    <w:p w14:paraId="0950B40E">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（一）</w:t>
      </w:r>
      <w:r>
        <w:rPr>
          <w:rFonts w:hint="eastAsia" w:ascii="宋体" w:hAnsi="宋体" w:eastAsia="宋体" w:cs="宋体"/>
          <w:color w:val="000000" w:themeColor="text1"/>
          <w:kern w:val="0"/>
          <w:sz w:val="30"/>
          <w:szCs w:val="30"/>
          <w14:textFill>
            <w14:solidFill>
              <w14:schemeClr w14:val="tx1"/>
            </w14:solidFill>
          </w14:textFill>
        </w:rPr>
        <w:t>现场处置指挥</w:t>
      </w:r>
      <w:r>
        <w:rPr>
          <w:rFonts w:hint="eastAsia" w:ascii="宋体" w:hAnsi="宋体" w:eastAsia="宋体" w:cs="宋体"/>
          <w:color w:val="000000" w:themeColor="text1"/>
          <w:kern w:val="0"/>
          <w:sz w:val="30"/>
          <w:szCs w:val="30"/>
          <w:lang w:eastAsia="zh-CN"/>
          <w14:textFill>
            <w14:solidFill>
              <w14:schemeClr w14:val="tx1"/>
            </w14:solidFill>
          </w14:textFill>
        </w:rPr>
        <w:t>部</w:t>
      </w:r>
    </w:p>
    <w:p w14:paraId="26BEDAA4">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总指挥： 赵传立</w:t>
      </w:r>
    </w:p>
    <w:p w14:paraId="4AEB6E81">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职  责：根据事故的性质、程度</w:t>
      </w: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决定是否启动应急救援程序和启动级别。负责安排应急演练期间的总体工作。</w:t>
      </w:r>
    </w:p>
    <w:p w14:paraId="3C58A06C">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副指挥：张德梅</w:t>
      </w:r>
    </w:p>
    <w:p w14:paraId="1FF3340E">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职  责：</w:t>
      </w:r>
      <w:r>
        <w:rPr>
          <w:rFonts w:hint="eastAsia" w:ascii="宋体" w:hAnsi="宋体" w:eastAsia="宋体" w:cs="宋体"/>
          <w:color w:val="000000" w:themeColor="text1"/>
          <w:kern w:val="0"/>
          <w:sz w:val="30"/>
          <w:szCs w:val="30"/>
          <w:lang w:eastAsia="zh-CN"/>
          <w14:textFill>
            <w14:solidFill>
              <w14:schemeClr w14:val="tx1"/>
            </w14:solidFill>
          </w14:textFill>
        </w:rPr>
        <w:t>协助</w:t>
      </w:r>
      <w:r>
        <w:rPr>
          <w:rFonts w:hint="eastAsia" w:ascii="宋体" w:hAnsi="宋体" w:eastAsia="宋体" w:cs="宋体"/>
          <w:color w:val="000000" w:themeColor="text1"/>
          <w:kern w:val="0"/>
          <w:sz w:val="30"/>
          <w:szCs w:val="30"/>
          <w14:textFill>
            <w14:solidFill>
              <w14:schemeClr w14:val="tx1"/>
            </w14:solidFill>
          </w14:textFill>
        </w:rPr>
        <w:t>总指挥负责应急演练期间总体工作的安排或受总指挥委托行使总指挥职责。</w:t>
      </w:r>
    </w:p>
    <w:p w14:paraId="7E7FD1F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lang w:val="en-US" w:eastAsia="zh-CN" w:bidi="ar-SA"/>
          <w14:textFill>
            <w14:solidFill>
              <w14:schemeClr w14:val="tx1"/>
            </w14:solidFill>
          </w14:textFill>
        </w:rPr>
        <w:t>（二）</w:t>
      </w:r>
      <w:r>
        <w:rPr>
          <w:rFonts w:hint="eastAsia" w:ascii="宋体" w:hAnsi="宋体" w:eastAsia="宋体" w:cs="宋体"/>
          <w:color w:val="000000" w:themeColor="text1"/>
          <w:kern w:val="0"/>
          <w:sz w:val="30"/>
          <w:szCs w:val="30"/>
          <w14:textFill>
            <w14:solidFill>
              <w14:schemeClr w14:val="tx1"/>
            </w14:solidFill>
          </w14:textFill>
        </w:rPr>
        <w:t>救援疏散组负责人：</w:t>
      </w:r>
      <w:r>
        <w:rPr>
          <w:rFonts w:hint="eastAsia" w:ascii="宋体" w:hAnsi="宋体" w:eastAsia="宋体" w:cs="宋体"/>
          <w:color w:val="000000" w:themeColor="text1"/>
          <w:kern w:val="0"/>
          <w:sz w:val="30"/>
          <w:szCs w:val="30"/>
          <w:lang w:eastAsia="zh-CN"/>
          <w14:textFill>
            <w14:solidFill>
              <w14:schemeClr w14:val="tx1"/>
            </w14:solidFill>
          </w14:textFill>
        </w:rPr>
        <w:t>鲁彦峰</w:t>
      </w:r>
    </w:p>
    <w:p w14:paraId="05D6B12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职  责：具体负责应急现场结构物评估以及应急措施技术性决策和协助指挥工作。应急</w:t>
      </w:r>
      <w:r>
        <w:rPr>
          <w:rFonts w:hint="eastAsia" w:ascii="宋体" w:hAnsi="宋体" w:eastAsia="宋体" w:cs="宋体"/>
          <w:color w:val="000000" w:themeColor="text1"/>
          <w:kern w:val="0"/>
          <w:sz w:val="30"/>
          <w:szCs w:val="30"/>
          <w:lang w:eastAsia="zh-CN"/>
          <w14:textFill>
            <w14:solidFill>
              <w14:schemeClr w14:val="tx1"/>
            </w14:solidFill>
          </w14:textFill>
        </w:rPr>
        <w:t>演练</w:t>
      </w:r>
      <w:r>
        <w:rPr>
          <w:rFonts w:hint="eastAsia" w:ascii="宋体" w:hAnsi="宋体" w:eastAsia="宋体" w:cs="宋体"/>
          <w:color w:val="000000" w:themeColor="text1"/>
          <w:kern w:val="0"/>
          <w:sz w:val="30"/>
          <w:szCs w:val="30"/>
          <w14:textFill>
            <w14:solidFill>
              <w14:schemeClr w14:val="tx1"/>
            </w14:solidFill>
          </w14:textFill>
        </w:rPr>
        <w:t>期间保证内、外通讯的正常</w:t>
      </w:r>
      <w:r>
        <w:rPr>
          <w:rFonts w:hint="eastAsia" w:ascii="宋体" w:hAnsi="宋体" w:eastAsia="宋体" w:cs="宋体"/>
          <w:color w:val="000000" w:themeColor="text1"/>
          <w:kern w:val="0"/>
          <w:sz w:val="30"/>
          <w:szCs w:val="30"/>
          <w:lang w:eastAsia="zh-CN"/>
          <w14:textFill>
            <w14:solidFill>
              <w14:schemeClr w14:val="tx1"/>
            </w14:solidFill>
          </w14:textFill>
        </w:rPr>
        <w:t>使用</w:t>
      </w:r>
      <w:r>
        <w:rPr>
          <w:rFonts w:hint="eastAsia" w:ascii="宋体" w:hAnsi="宋体" w:eastAsia="宋体" w:cs="宋体"/>
          <w:color w:val="000000" w:themeColor="text1"/>
          <w:kern w:val="0"/>
          <w:sz w:val="30"/>
          <w:szCs w:val="30"/>
          <w14:textFill>
            <w14:solidFill>
              <w14:schemeClr w14:val="tx1"/>
            </w14:solidFill>
          </w14:textFill>
        </w:rPr>
        <w:t>。</w:t>
      </w:r>
    </w:p>
    <w:p w14:paraId="61F1056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lang w:val="en-US" w:eastAsia="zh-CN" w:bidi="ar-SA"/>
          <w14:textFill>
            <w14:solidFill>
              <w14:schemeClr w14:val="tx1"/>
            </w14:solidFill>
          </w14:textFill>
        </w:rPr>
        <w:t>（三）</w:t>
      </w:r>
      <w:r>
        <w:rPr>
          <w:rFonts w:hint="eastAsia" w:ascii="宋体" w:hAnsi="宋体" w:eastAsia="宋体" w:cs="宋体"/>
          <w:color w:val="000000" w:themeColor="text1"/>
          <w:kern w:val="0"/>
          <w:sz w:val="30"/>
          <w:szCs w:val="30"/>
          <w14:textFill>
            <w14:solidFill>
              <w14:schemeClr w14:val="tx1"/>
            </w14:solidFill>
          </w14:textFill>
        </w:rPr>
        <w:t>后勤保障组负责人：</w:t>
      </w:r>
      <w:r>
        <w:rPr>
          <w:rFonts w:hint="eastAsia" w:ascii="宋体" w:hAnsi="宋体" w:eastAsia="宋体" w:cs="宋体"/>
          <w:color w:val="000000" w:themeColor="text1"/>
          <w:kern w:val="0"/>
          <w:sz w:val="30"/>
          <w:szCs w:val="30"/>
          <w:lang w:eastAsia="zh-CN"/>
          <w14:textFill>
            <w14:solidFill>
              <w14:schemeClr w14:val="tx1"/>
            </w14:solidFill>
          </w14:textFill>
        </w:rPr>
        <w:t>赵芳</w:t>
      </w:r>
    </w:p>
    <w:p w14:paraId="11BA180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职  责：应急</w:t>
      </w:r>
      <w:r>
        <w:rPr>
          <w:rFonts w:hint="eastAsia" w:ascii="宋体" w:hAnsi="宋体" w:eastAsia="宋体" w:cs="宋体"/>
          <w:color w:val="000000" w:themeColor="text1"/>
          <w:kern w:val="0"/>
          <w:sz w:val="30"/>
          <w:szCs w:val="30"/>
          <w:lang w:eastAsia="zh-CN"/>
          <w14:textFill>
            <w14:solidFill>
              <w14:schemeClr w14:val="tx1"/>
            </w14:solidFill>
          </w14:textFill>
        </w:rPr>
        <w:t>演练</w:t>
      </w:r>
      <w:r>
        <w:rPr>
          <w:rFonts w:hint="eastAsia" w:ascii="宋体" w:hAnsi="宋体" w:eastAsia="宋体" w:cs="宋体"/>
          <w:color w:val="000000" w:themeColor="text1"/>
          <w:kern w:val="0"/>
          <w:sz w:val="30"/>
          <w:szCs w:val="30"/>
          <w14:textFill>
            <w14:solidFill>
              <w14:schemeClr w14:val="tx1"/>
            </w14:solidFill>
          </w14:textFill>
        </w:rPr>
        <w:t>期间对各项应急工作所需人员、物资进行协调处理。</w:t>
      </w:r>
    </w:p>
    <w:p w14:paraId="66242592">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（四）</w:t>
      </w:r>
      <w:r>
        <w:rPr>
          <w:rFonts w:hint="eastAsia" w:ascii="宋体" w:hAnsi="宋体" w:eastAsia="宋体" w:cs="宋体"/>
          <w:color w:val="000000" w:themeColor="text1"/>
          <w:kern w:val="0"/>
          <w:sz w:val="30"/>
          <w:szCs w:val="30"/>
          <w14:textFill>
            <w14:solidFill>
              <w14:schemeClr w14:val="tx1"/>
            </w14:solidFill>
          </w14:textFill>
        </w:rPr>
        <w:t>事故调查组负责人：</w:t>
      </w:r>
      <w:r>
        <w:rPr>
          <w:rFonts w:hint="eastAsia" w:ascii="宋体" w:hAnsi="宋体" w:eastAsia="宋体" w:cs="宋体"/>
          <w:color w:val="000000" w:themeColor="text1"/>
          <w:kern w:val="0"/>
          <w:sz w:val="30"/>
          <w:szCs w:val="30"/>
          <w:lang w:eastAsia="zh-CN"/>
          <w14:textFill>
            <w14:solidFill>
              <w14:schemeClr w14:val="tx1"/>
            </w14:solidFill>
          </w14:textFill>
        </w:rPr>
        <w:t>马进龙</w:t>
      </w:r>
    </w:p>
    <w:p w14:paraId="70F4687F">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职</w:t>
      </w:r>
      <w:r>
        <w:rPr>
          <w:rFonts w:hint="eastAsia" w:ascii="宋体" w:hAnsi="宋体" w:eastAsia="宋体" w:cs="宋体"/>
          <w:color w:val="000000" w:themeColor="text1"/>
          <w:kern w:val="0"/>
          <w:sz w:val="30"/>
          <w:szCs w:val="30"/>
          <w:lang w:val="en-US" w:eastAsia="zh-CN"/>
          <w14:textFill>
            <w14:solidFill>
              <w14:schemeClr w14:val="tx1"/>
            </w14:solidFill>
          </w14:textFill>
        </w:rPr>
        <w:t xml:space="preserve">  </w:t>
      </w:r>
      <w:r>
        <w:rPr>
          <w:rFonts w:hint="eastAsia" w:ascii="宋体" w:hAnsi="宋体" w:eastAsia="宋体" w:cs="宋体"/>
          <w:color w:val="000000" w:themeColor="text1"/>
          <w:kern w:val="0"/>
          <w:sz w:val="30"/>
          <w:szCs w:val="30"/>
          <w14:textFill>
            <w14:solidFill>
              <w14:schemeClr w14:val="tx1"/>
            </w14:solidFill>
          </w14:textFill>
        </w:rPr>
        <w:t>责：对应急演练期间各项现场处置方案的安全性进行分析、评估。</w:t>
      </w:r>
      <w:r>
        <w:rPr>
          <w:rFonts w:hint="eastAsia" w:ascii="宋体" w:hAnsi="宋体" w:eastAsia="宋体" w:cs="宋体"/>
          <w:color w:val="000000" w:themeColor="text1"/>
          <w:kern w:val="0"/>
          <w:sz w:val="30"/>
          <w:szCs w:val="30"/>
          <w:lang w:eastAsia="zh-CN"/>
          <w14:textFill>
            <w14:solidFill>
              <w14:schemeClr w14:val="tx1"/>
            </w14:solidFill>
          </w14:textFill>
        </w:rPr>
        <w:t>对事故进行调查分析，报送事故报告。</w:t>
      </w:r>
    </w:p>
    <w:p w14:paraId="5012FD1C">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bookmarkStart w:id="8" w:name="_Toc103417077"/>
      <w:r>
        <w:rPr>
          <w:rFonts w:hint="eastAsia" w:ascii="宋体" w:hAnsi="宋体" w:eastAsia="宋体" w:cs="宋体"/>
          <w:b/>
          <w:bCs/>
          <w:color w:val="000000" w:themeColor="text1"/>
          <w:kern w:val="0"/>
          <w:sz w:val="30"/>
          <w:szCs w:val="30"/>
          <w:lang w:eastAsia="zh-CN"/>
          <w14:textFill>
            <w14:solidFill>
              <w14:schemeClr w14:val="tx1"/>
            </w14:solidFill>
          </w14:textFill>
        </w:rPr>
        <w:t>五、</w:t>
      </w:r>
      <w:r>
        <w:rPr>
          <w:rFonts w:hint="eastAsia" w:ascii="宋体" w:hAnsi="宋体" w:eastAsia="宋体" w:cs="宋体"/>
          <w:b/>
          <w:bCs/>
          <w:color w:val="000000" w:themeColor="text1"/>
          <w:kern w:val="0"/>
          <w:sz w:val="30"/>
          <w:szCs w:val="30"/>
          <w14:textFill>
            <w14:solidFill>
              <w14:schemeClr w14:val="tx1"/>
            </w14:solidFill>
          </w14:textFill>
        </w:rPr>
        <w:t>需要准备的物资</w:t>
      </w:r>
      <w:bookmarkEnd w:id="8"/>
    </w:p>
    <w:p w14:paraId="69A60B8B">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（一）</w:t>
      </w:r>
      <w:r>
        <w:rPr>
          <w:rFonts w:hint="eastAsia" w:ascii="宋体" w:hAnsi="宋体" w:eastAsia="宋体" w:cs="宋体"/>
          <w:color w:val="000000" w:themeColor="text1"/>
          <w:kern w:val="0"/>
          <w:sz w:val="30"/>
          <w:szCs w:val="30"/>
          <w14:textFill>
            <w14:solidFill>
              <w14:schemeClr w14:val="tx1"/>
            </w14:solidFill>
          </w14:textFill>
        </w:rPr>
        <w:t>扬声器1个</w:t>
      </w:r>
    </w:p>
    <w:p w14:paraId="445EF82B">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（二）</w:t>
      </w:r>
      <w:r>
        <w:rPr>
          <w:rFonts w:hint="eastAsia" w:ascii="宋体" w:hAnsi="宋体" w:eastAsia="宋体" w:cs="宋体"/>
          <w:color w:val="000000" w:themeColor="text1"/>
          <w:kern w:val="0"/>
          <w:sz w:val="30"/>
          <w:szCs w:val="30"/>
          <w14:textFill>
            <w14:solidFill>
              <w14:schemeClr w14:val="tx1"/>
            </w14:solidFill>
          </w14:textFill>
        </w:rPr>
        <w:t>对讲机1对</w:t>
      </w:r>
    </w:p>
    <w:p w14:paraId="15E4F2E9">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（三）</w:t>
      </w:r>
      <w:r>
        <w:rPr>
          <w:rFonts w:hint="eastAsia" w:ascii="宋体" w:hAnsi="宋体" w:eastAsia="宋体" w:cs="宋体"/>
          <w:color w:val="000000" w:themeColor="text1"/>
          <w:kern w:val="0"/>
          <w:sz w:val="30"/>
          <w:szCs w:val="30"/>
          <w14:textFill>
            <w14:solidFill>
              <w14:schemeClr w14:val="tx1"/>
            </w14:solidFill>
          </w14:textFill>
        </w:rPr>
        <w:t>警戒线1盘</w:t>
      </w:r>
    </w:p>
    <w:p w14:paraId="19B8DA14">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lang w:val="en-US" w:eastAsia="zh-CN"/>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（四）铁锨</w:t>
      </w:r>
      <w:r>
        <w:rPr>
          <w:rFonts w:hint="eastAsia" w:ascii="宋体" w:hAnsi="宋体" w:eastAsia="宋体" w:cs="宋体"/>
          <w:color w:val="000000" w:themeColor="text1"/>
          <w:kern w:val="0"/>
          <w:sz w:val="30"/>
          <w:szCs w:val="30"/>
          <w:lang w:val="en-US" w:eastAsia="zh-CN"/>
          <w14:textFill>
            <w14:solidFill>
              <w14:schemeClr w14:val="tx1"/>
            </w14:solidFill>
          </w14:textFill>
        </w:rPr>
        <w:t>4张</w:t>
      </w:r>
    </w:p>
    <w:p w14:paraId="68D437D5">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lang w:val="en-US" w:eastAsia="zh-CN"/>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（五）装载车</w:t>
      </w:r>
      <w:r>
        <w:rPr>
          <w:rFonts w:hint="eastAsia" w:ascii="宋体" w:hAnsi="宋体" w:eastAsia="宋体" w:cs="宋体"/>
          <w:color w:val="000000" w:themeColor="text1"/>
          <w:kern w:val="0"/>
          <w:sz w:val="30"/>
          <w:szCs w:val="30"/>
          <w:lang w:val="en-US" w:eastAsia="zh-CN"/>
          <w14:textFill>
            <w14:solidFill>
              <w14:schemeClr w14:val="tx1"/>
            </w14:solidFill>
          </w14:textFill>
        </w:rPr>
        <w:t>1辆</w:t>
      </w:r>
    </w:p>
    <w:p w14:paraId="2019831B">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（六）中和剂0.5吨</w:t>
      </w:r>
    </w:p>
    <w:p w14:paraId="1F580AFB">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bookmarkStart w:id="9" w:name="_Toc103417078"/>
      <w:r>
        <w:rPr>
          <w:rFonts w:hint="eastAsia" w:ascii="宋体" w:hAnsi="宋体" w:eastAsia="宋体" w:cs="宋体"/>
          <w:b/>
          <w:bCs/>
          <w:color w:val="000000" w:themeColor="text1"/>
          <w:kern w:val="0"/>
          <w:sz w:val="30"/>
          <w:szCs w:val="30"/>
          <w14:textFill>
            <w14:solidFill>
              <w14:schemeClr w14:val="tx1"/>
            </w14:solidFill>
          </w14:textFill>
        </w:rPr>
        <w:t>六、现场处置应急演练时间</w:t>
      </w:r>
      <w:bookmarkEnd w:id="9"/>
    </w:p>
    <w:p w14:paraId="6A980E5E">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lang w:val="en-US" w:eastAsia="zh-CN"/>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202</w:t>
      </w:r>
      <w:r>
        <w:rPr>
          <w:rFonts w:hint="eastAsia" w:ascii="宋体" w:hAnsi="宋体" w:eastAsia="宋体" w:cs="宋体"/>
          <w:color w:val="000000" w:themeColor="text1"/>
          <w:kern w:val="0"/>
          <w:sz w:val="30"/>
          <w:szCs w:val="30"/>
          <w:lang w:val="en-US" w:eastAsia="zh-CN"/>
          <w14:textFill>
            <w14:solidFill>
              <w14:schemeClr w14:val="tx1"/>
            </w14:solidFill>
          </w14:textFill>
        </w:rPr>
        <w:t>5</w:t>
      </w:r>
      <w:r>
        <w:rPr>
          <w:rFonts w:hint="eastAsia" w:ascii="宋体" w:hAnsi="宋体" w:eastAsia="宋体" w:cs="宋体"/>
          <w:color w:val="000000" w:themeColor="text1"/>
          <w:kern w:val="0"/>
          <w:sz w:val="30"/>
          <w:szCs w:val="30"/>
          <w14:textFill>
            <w14:solidFill>
              <w14:schemeClr w14:val="tx1"/>
            </w14:solidFill>
          </w14:textFill>
        </w:rPr>
        <w:t>年</w:t>
      </w:r>
      <w:r>
        <w:rPr>
          <w:rFonts w:hint="eastAsia" w:ascii="宋体" w:hAnsi="宋体" w:eastAsia="宋体" w:cs="宋体"/>
          <w:color w:val="000000" w:themeColor="text1"/>
          <w:kern w:val="0"/>
          <w:sz w:val="30"/>
          <w:szCs w:val="30"/>
          <w:lang w:val="en-US" w:eastAsia="zh-CN"/>
          <w14:textFill>
            <w14:solidFill>
              <w14:schemeClr w14:val="tx1"/>
            </w14:solidFill>
          </w14:textFill>
        </w:rPr>
        <w:t>5</w:t>
      </w:r>
      <w:r>
        <w:rPr>
          <w:rFonts w:hint="eastAsia" w:ascii="宋体" w:hAnsi="宋体" w:eastAsia="宋体" w:cs="宋体"/>
          <w:color w:val="000000" w:themeColor="text1"/>
          <w:kern w:val="0"/>
          <w:sz w:val="30"/>
          <w:szCs w:val="30"/>
          <w14:textFill>
            <w14:solidFill>
              <w14:schemeClr w14:val="tx1"/>
            </w14:solidFill>
          </w14:textFill>
        </w:rPr>
        <w:t>月</w:t>
      </w:r>
      <w:r>
        <w:rPr>
          <w:rFonts w:hint="eastAsia" w:ascii="宋体" w:hAnsi="宋体" w:eastAsia="宋体" w:cs="宋体"/>
          <w:color w:val="000000" w:themeColor="text1"/>
          <w:kern w:val="0"/>
          <w:sz w:val="30"/>
          <w:szCs w:val="30"/>
          <w:lang w:val="en-US" w:eastAsia="zh-CN"/>
          <w14:textFill>
            <w14:solidFill>
              <w14:schemeClr w14:val="tx1"/>
            </w14:solidFill>
          </w14:textFill>
        </w:rPr>
        <w:t>29</w:t>
      </w:r>
      <w:r>
        <w:rPr>
          <w:rFonts w:hint="eastAsia" w:ascii="宋体" w:hAnsi="宋体" w:eastAsia="宋体" w:cs="宋体"/>
          <w:color w:val="000000" w:themeColor="text1"/>
          <w:kern w:val="0"/>
          <w:sz w:val="30"/>
          <w:szCs w:val="30"/>
          <w14:textFill>
            <w14:solidFill>
              <w14:schemeClr w14:val="tx1"/>
            </w14:solidFill>
          </w14:textFill>
        </w:rPr>
        <w:t>日15:00 -15:</w:t>
      </w:r>
      <w:r>
        <w:rPr>
          <w:rFonts w:hint="eastAsia" w:ascii="宋体" w:hAnsi="宋体" w:eastAsia="宋体" w:cs="宋体"/>
          <w:color w:val="000000" w:themeColor="text1"/>
          <w:kern w:val="0"/>
          <w:sz w:val="30"/>
          <w:szCs w:val="30"/>
          <w:lang w:val="en-US" w:eastAsia="zh-CN"/>
          <w14:textFill>
            <w14:solidFill>
              <w14:schemeClr w14:val="tx1"/>
            </w14:solidFill>
          </w14:textFill>
        </w:rPr>
        <w:t>40</w:t>
      </w:r>
    </w:p>
    <w:p w14:paraId="14613B2E">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bookmarkStart w:id="10" w:name="_Toc103417079"/>
      <w:r>
        <w:rPr>
          <w:rFonts w:hint="eastAsia" w:ascii="宋体" w:hAnsi="宋体" w:eastAsia="宋体" w:cs="宋体"/>
          <w:b/>
          <w:bCs/>
          <w:color w:val="000000" w:themeColor="text1"/>
          <w:kern w:val="0"/>
          <w:sz w:val="30"/>
          <w:szCs w:val="30"/>
          <w14:textFill>
            <w14:solidFill>
              <w14:schemeClr w14:val="tx1"/>
            </w14:solidFill>
          </w14:textFill>
        </w:rPr>
        <w:t>七、现场处置地点：</w:t>
      </w:r>
      <w:bookmarkEnd w:id="10"/>
    </w:p>
    <w:p w14:paraId="3C40ABEE">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公司虚设一个</w:t>
      </w:r>
      <w:r>
        <w:rPr>
          <w:rFonts w:hint="eastAsia" w:ascii="宋体" w:hAnsi="宋体" w:eastAsia="宋体" w:cs="宋体"/>
          <w:color w:val="000000" w:themeColor="text1"/>
          <w:kern w:val="0"/>
          <w:sz w:val="30"/>
          <w:szCs w:val="30"/>
          <w:lang w:eastAsia="zh-CN"/>
          <w14:textFill>
            <w14:solidFill>
              <w14:schemeClr w14:val="tx1"/>
            </w14:solidFill>
          </w14:textFill>
        </w:rPr>
        <w:t>硫酸泄漏</w:t>
      </w:r>
      <w:r>
        <w:rPr>
          <w:rFonts w:hint="eastAsia" w:ascii="宋体" w:hAnsi="宋体" w:eastAsia="宋体" w:cs="宋体"/>
          <w:color w:val="000000" w:themeColor="text1"/>
          <w:kern w:val="0"/>
          <w:sz w:val="30"/>
          <w:szCs w:val="30"/>
          <w14:textFill>
            <w14:solidFill>
              <w14:schemeClr w14:val="tx1"/>
            </w14:solidFill>
          </w14:textFill>
        </w:rPr>
        <w:t>点</w:t>
      </w:r>
    </w:p>
    <w:p w14:paraId="08E5D691">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b/>
          <w:bCs/>
          <w:color w:val="000000" w:themeColor="text1"/>
          <w:kern w:val="0"/>
          <w:sz w:val="30"/>
          <w:szCs w:val="30"/>
          <w14:textFill>
            <w14:solidFill>
              <w14:schemeClr w14:val="tx1"/>
            </w14:solidFill>
          </w14:textFill>
        </w:rPr>
      </w:pPr>
      <w:bookmarkStart w:id="11" w:name="_Toc103417080"/>
      <w:r>
        <w:rPr>
          <w:rFonts w:hint="eastAsia" w:ascii="宋体" w:hAnsi="宋体" w:eastAsia="宋体" w:cs="宋体"/>
          <w:b/>
          <w:bCs/>
          <w:color w:val="000000" w:themeColor="text1"/>
          <w:kern w:val="0"/>
          <w:sz w:val="30"/>
          <w:szCs w:val="30"/>
          <w:lang w:eastAsia="zh-CN"/>
          <w14:textFill>
            <w14:solidFill>
              <w14:schemeClr w14:val="tx1"/>
            </w14:solidFill>
          </w14:textFill>
        </w:rPr>
        <w:t>八、</w:t>
      </w:r>
      <w:r>
        <w:rPr>
          <w:rFonts w:hint="eastAsia" w:ascii="宋体" w:hAnsi="宋体" w:eastAsia="宋体" w:cs="宋体"/>
          <w:b/>
          <w:bCs/>
          <w:color w:val="000000" w:themeColor="text1"/>
          <w:kern w:val="0"/>
          <w:sz w:val="30"/>
          <w:szCs w:val="30"/>
          <w14:textFill>
            <w14:solidFill>
              <w14:schemeClr w14:val="tx1"/>
            </w14:solidFill>
          </w14:textFill>
        </w:rPr>
        <w:t>应急演练</w:t>
      </w:r>
      <w:bookmarkEnd w:id="11"/>
      <w:r>
        <w:rPr>
          <w:rFonts w:hint="eastAsia" w:ascii="宋体" w:hAnsi="宋体" w:eastAsia="宋体" w:cs="宋体"/>
          <w:b/>
          <w:bCs/>
          <w:color w:val="000000" w:themeColor="text1"/>
          <w:kern w:val="0"/>
          <w:sz w:val="30"/>
          <w:szCs w:val="30"/>
          <w14:textFill>
            <w14:solidFill>
              <w14:schemeClr w14:val="tx1"/>
            </w14:solidFill>
          </w14:textFill>
        </w:rPr>
        <w:t>脚本</w:t>
      </w:r>
    </w:p>
    <w:p w14:paraId="417EA4D3">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（一）</w:t>
      </w:r>
      <w:r>
        <w:rPr>
          <w:rFonts w:hint="eastAsia" w:ascii="宋体" w:hAnsi="宋体" w:eastAsia="宋体" w:cs="宋体"/>
          <w:color w:val="000000" w:themeColor="text1"/>
          <w:kern w:val="0"/>
          <w:sz w:val="30"/>
          <w:szCs w:val="30"/>
          <w14:textFill>
            <w14:solidFill>
              <w14:schemeClr w14:val="tx1"/>
            </w14:solidFill>
          </w14:textFill>
        </w:rPr>
        <w:t>202</w:t>
      </w:r>
      <w:r>
        <w:rPr>
          <w:rFonts w:hint="eastAsia" w:ascii="宋体" w:hAnsi="宋体" w:eastAsia="宋体" w:cs="宋体"/>
          <w:color w:val="000000" w:themeColor="text1"/>
          <w:kern w:val="0"/>
          <w:sz w:val="30"/>
          <w:szCs w:val="30"/>
          <w:lang w:val="en-US" w:eastAsia="zh-CN"/>
          <w14:textFill>
            <w14:solidFill>
              <w14:schemeClr w14:val="tx1"/>
            </w14:solidFill>
          </w14:textFill>
        </w:rPr>
        <w:t>5</w:t>
      </w:r>
      <w:r>
        <w:rPr>
          <w:rFonts w:hint="eastAsia" w:ascii="宋体" w:hAnsi="宋体" w:eastAsia="宋体" w:cs="宋体"/>
          <w:color w:val="000000" w:themeColor="text1"/>
          <w:kern w:val="0"/>
          <w:sz w:val="30"/>
          <w:szCs w:val="30"/>
          <w14:textFill>
            <w14:solidFill>
              <w14:schemeClr w14:val="tx1"/>
            </w14:solidFill>
          </w14:textFill>
        </w:rPr>
        <w:t>年</w:t>
      </w:r>
      <w:r>
        <w:rPr>
          <w:rFonts w:hint="eastAsia" w:ascii="宋体" w:hAnsi="宋体" w:eastAsia="宋体" w:cs="宋体"/>
          <w:color w:val="000000" w:themeColor="text1"/>
          <w:kern w:val="0"/>
          <w:sz w:val="30"/>
          <w:szCs w:val="30"/>
          <w:lang w:val="en-US" w:eastAsia="zh-CN"/>
          <w14:textFill>
            <w14:solidFill>
              <w14:schemeClr w14:val="tx1"/>
            </w14:solidFill>
          </w14:textFill>
        </w:rPr>
        <w:t>5</w:t>
      </w:r>
      <w:r>
        <w:rPr>
          <w:rFonts w:hint="eastAsia" w:ascii="宋体" w:hAnsi="宋体" w:eastAsia="宋体" w:cs="宋体"/>
          <w:color w:val="000000" w:themeColor="text1"/>
          <w:kern w:val="0"/>
          <w:sz w:val="30"/>
          <w:szCs w:val="30"/>
          <w14:textFill>
            <w14:solidFill>
              <w14:schemeClr w14:val="tx1"/>
            </w14:solidFill>
          </w14:textFill>
        </w:rPr>
        <w:t>月</w:t>
      </w:r>
      <w:r>
        <w:rPr>
          <w:rFonts w:hint="eastAsia" w:ascii="宋体" w:hAnsi="宋体" w:eastAsia="宋体" w:cs="宋体"/>
          <w:color w:val="000000" w:themeColor="text1"/>
          <w:kern w:val="0"/>
          <w:sz w:val="30"/>
          <w:szCs w:val="30"/>
          <w:lang w:val="en-US" w:eastAsia="zh-CN"/>
          <w14:textFill>
            <w14:solidFill>
              <w14:schemeClr w14:val="tx1"/>
            </w14:solidFill>
          </w14:textFill>
        </w:rPr>
        <w:t>29</w:t>
      </w:r>
      <w:r>
        <w:rPr>
          <w:rFonts w:hint="eastAsia" w:ascii="宋体" w:hAnsi="宋体" w:eastAsia="宋体" w:cs="宋体"/>
          <w:color w:val="000000" w:themeColor="text1"/>
          <w:kern w:val="0"/>
          <w:sz w:val="30"/>
          <w:szCs w:val="30"/>
          <w14:textFill>
            <w14:solidFill>
              <w14:schemeClr w14:val="tx1"/>
            </w14:solidFill>
          </w14:textFill>
        </w:rPr>
        <w:t>日</w:t>
      </w:r>
      <w:r>
        <w:rPr>
          <w:rFonts w:hint="eastAsia" w:ascii="宋体" w:hAnsi="宋体" w:eastAsia="宋体" w:cs="宋体"/>
          <w:color w:val="000000" w:themeColor="text1"/>
          <w:kern w:val="0"/>
          <w:sz w:val="30"/>
          <w:szCs w:val="30"/>
          <w:lang w:val="en-US" w:eastAsia="zh-CN"/>
          <w14:textFill>
            <w14:solidFill>
              <w14:schemeClr w14:val="tx1"/>
            </w14:solidFill>
          </w14:textFill>
        </w:rPr>
        <w:t>9</w:t>
      </w:r>
      <w:r>
        <w:rPr>
          <w:rFonts w:hint="eastAsia" w:ascii="宋体" w:hAnsi="宋体" w:eastAsia="宋体" w:cs="宋体"/>
          <w:color w:val="000000" w:themeColor="text1"/>
          <w:kern w:val="0"/>
          <w:sz w:val="30"/>
          <w:szCs w:val="30"/>
          <w14:textFill>
            <w14:solidFill>
              <w14:schemeClr w14:val="tx1"/>
            </w14:solidFill>
          </w14:textFill>
        </w:rPr>
        <w:t>:30～</w:t>
      </w:r>
      <w:r>
        <w:rPr>
          <w:rFonts w:hint="eastAsia" w:ascii="宋体" w:hAnsi="宋体" w:eastAsia="宋体" w:cs="宋体"/>
          <w:color w:val="000000" w:themeColor="text1"/>
          <w:kern w:val="0"/>
          <w:sz w:val="30"/>
          <w:szCs w:val="30"/>
          <w:lang w:val="en-US" w:eastAsia="zh-CN"/>
          <w14:textFill>
            <w14:solidFill>
              <w14:schemeClr w14:val="tx1"/>
            </w14:solidFill>
          </w14:textFill>
        </w:rPr>
        <w:t>10</w:t>
      </w:r>
      <w:r>
        <w:rPr>
          <w:rFonts w:hint="eastAsia" w:ascii="宋体" w:hAnsi="宋体" w:eastAsia="宋体" w:cs="宋体"/>
          <w:color w:val="000000" w:themeColor="text1"/>
          <w:kern w:val="0"/>
          <w:sz w:val="30"/>
          <w:szCs w:val="30"/>
          <w14:textFill>
            <w14:solidFill>
              <w14:schemeClr w14:val="tx1"/>
            </w14:solidFill>
          </w14:textFill>
        </w:rPr>
        <w:t>:30召开一次现场处置专项会议，进行应急演练工作的指示和传达。讲解</w:t>
      </w:r>
      <w:r>
        <w:rPr>
          <w:rFonts w:hint="eastAsia" w:ascii="宋体" w:hAnsi="宋体" w:eastAsia="宋体" w:cs="宋体"/>
          <w:color w:val="000000" w:themeColor="text1"/>
          <w:kern w:val="0"/>
          <w:sz w:val="30"/>
          <w:szCs w:val="30"/>
          <w:lang w:eastAsia="zh-CN"/>
          <w14:textFill>
            <w14:solidFill>
              <w14:schemeClr w14:val="tx1"/>
            </w14:solidFill>
          </w14:textFill>
        </w:rPr>
        <w:t>硫酸泄漏</w:t>
      </w:r>
      <w:r>
        <w:rPr>
          <w:rFonts w:hint="eastAsia" w:ascii="宋体" w:hAnsi="宋体" w:eastAsia="宋体" w:cs="宋体"/>
          <w:color w:val="000000" w:themeColor="text1"/>
          <w:kern w:val="0"/>
          <w:sz w:val="30"/>
          <w:szCs w:val="30"/>
          <w14:textFill>
            <w14:solidFill>
              <w14:schemeClr w14:val="tx1"/>
            </w14:solidFill>
          </w14:textFill>
        </w:rPr>
        <w:t>现场处置方法。</w:t>
      </w:r>
    </w:p>
    <w:p w14:paraId="7A3A8AC4">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p>
    <w:p w14:paraId="42EB09E7">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（二）</w:t>
      </w:r>
      <w:r>
        <w:rPr>
          <w:rFonts w:hint="eastAsia" w:ascii="宋体" w:hAnsi="宋体" w:eastAsia="宋体" w:cs="宋体"/>
          <w:color w:val="000000" w:themeColor="text1"/>
          <w:kern w:val="0"/>
          <w:sz w:val="30"/>
          <w:szCs w:val="30"/>
          <w:lang w:eastAsia="zh-CN"/>
          <w14:textFill>
            <w14:solidFill>
              <w14:schemeClr w14:val="tx1"/>
            </w14:solidFill>
          </w14:textFill>
        </w:rPr>
        <w:t>硫酸泄漏事故</w:t>
      </w:r>
      <w:r>
        <w:rPr>
          <w:rFonts w:hint="eastAsia" w:ascii="宋体" w:hAnsi="宋体" w:eastAsia="宋体" w:cs="宋体"/>
          <w:color w:val="000000" w:themeColor="text1"/>
          <w:kern w:val="0"/>
          <w:sz w:val="30"/>
          <w:szCs w:val="30"/>
          <w14:textFill>
            <w14:solidFill>
              <w14:schemeClr w14:val="tx1"/>
            </w14:solidFill>
          </w14:textFill>
        </w:rPr>
        <w:t>现场处置应急演练脚本</w:t>
      </w:r>
    </w:p>
    <w:p w14:paraId="4B002AE8">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1</w:t>
      </w:r>
      <w:r>
        <w:rPr>
          <w:rFonts w:hint="eastAsia" w:ascii="宋体" w:hAnsi="宋体" w:eastAsia="宋体" w:cs="宋体"/>
          <w:color w:val="000000" w:themeColor="text1"/>
          <w:kern w:val="0"/>
          <w:sz w:val="30"/>
          <w:szCs w:val="30"/>
          <w:lang w:val="en-US"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15:00</w:t>
      </w:r>
      <w:r>
        <w:rPr>
          <w:rFonts w:hint="eastAsia" w:ascii="宋体" w:hAnsi="宋体" w:eastAsia="宋体" w:cs="宋体"/>
          <w:color w:val="000000" w:themeColor="text1"/>
          <w:kern w:val="0"/>
          <w:sz w:val="30"/>
          <w:szCs w:val="30"/>
          <w:lang w:eastAsia="zh-CN"/>
          <w14:textFill>
            <w14:solidFill>
              <w14:schemeClr w14:val="tx1"/>
            </w14:solidFill>
          </w14:textFill>
        </w:rPr>
        <w:t>时</w:t>
      </w:r>
      <w:r>
        <w:rPr>
          <w:rFonts w:hint="eastAsia" w:ascii="宋体" w:hAnsi="宋体" w:eastAsia="宋体" w:cs="宋体"/>
          <w:color w:val="000000" w:themeColor="text1"/>
          <w:kern w:val="0"/>
          <w:sz w:val="30"/>
          <w:szCs w:val="30"/>
          <w14:textFill>
            <w14:solidFill>
              <w14:schemeClr w14:val="tx1"/>
            </w14:solidFill>
          </w14:textFill>
        </w:rPr>
        <w:t>整</w:t>
      </w: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现场</w:t>
      </w:r>
      <w:r>
        <w:rPr>
          <w:rFonts w:hint="eastAsia" w:ascii="宋体" w:hAnsi="宋体" w:eastAsia="宋体" w:cs="宋体"/>
          <w:color w:val="000000" w:themeColor="text1"/>
          <w:kern w:val="0"/>
          <w:sz w:val="30"/>
          <w:szCs w:val="30"/>
          <w:lang w:eastAsia="zh-CN"/>
          <w14:textFill>
            <w14:solidFill>
              <w14:schemeClr w14:val="tx1"/>
            </w14:solidFill>
          </w14:textFill>
        </w:rPr>
        <w:t>作业</w:t>
      </w:r>
      <w:r>
        <w:rPr>
          <w:rFonts w:hint="eastAsia" w:ascii="宋体" w:hAnsi="宋体" w:eastAsia="宋体" w:cs="宋体"/>
          <w:color w:val="000000" w:themeColor="text1"/>
          <w:kern w:val="0"/>
          <w:sz w:val="30"/>
          <w:szCs w:val="30"/>
          <w14:textFill>
            <w14:solidFill>
              <w14:schemeClr w14:val="tx1"/>
            </w14:solidFill>
          </w14:textFill>
        </w:rPr>
        <w:t>员工发现</w:t>
      </w:r>
      <w:r>
        <w:rPr>
          <w:rFonts w:hint="eastAsia" w:ascii="宋体" w:hAnsi="宋体" w:eastAsia="宋体" w:cs="宋体"/>
          <w:color w:val="000000" w:themeColor="text1"/>
          <w:kern w:val="0"/>
          <w:sz w:val="30"/>
          <w:szCs w:val="30"/>
          <w:lang w:eastAsia="zh-CN"/>
          <w14:textFill>
            <w14:solidFill>
              <w14:schemeClr w14:val="tx1"/>
            </w14:solidFill>
          </w14:textFill>
        </w:rPr>
        <w:t>硫酸泄漏，</w:t>
      </w:r>
      <w:r>
        <w:rPr>
          <w:rFonts w:hint="eastAsia" w:ascii="宋体" w:hAnsi="宋体" w:eastAsia="宋体" w:cs="宋体"/>
          <w:color w:val="000000" w:themeColor="text1"/>
          <w:kern w:val="0"/>
          <w:sz w:val="30"/>
          <w:szCs w:val="30"/>
          <w14:textFill>
            <w14:solidFill>
              <w14:schemeClr w14:val="tx1"/>
            </w14:solidFill>
          </w14:textFill>
        </w:rPr>
        <w:t>立即查看并</w:t>
      </w:r>
      <w:r>
        <w:rPr>
          <w:rFonts w:hint="eastAsia" w:ascii="宋体" w:hAnsi="宋体" w:eastAsia="宋体" w:cs="宋体"/>
          <w:color w:val="000000" w:themeColor="text1"/>
          <w:kern w:val="0"/>
          <w:sz w:val="30"/>
          <w:szCs w:val="30"/>
          <w:lang w:eastAsia="zh-CN"/>
          <w14:textFill>
            <w14:solidFill>
              <w14:schemeClr w14:val="tx1"/>
            </w14:solidFill>
          </w14:textFill>
        </w:rPr>
        <w:t>第一时间</w:t>
      </w:r>
      <w:r>
        <w:rPr>
          <w:rFonts w:hint="eastAsia" w:ascii="宋体" w:hAnsi="宋体" w:eastAsia="宋体" w:cs="宋体"/>
          <w:color w:val="000000" w:themeColor="text1"/>
          <w:kern w:val="0"/>
          <w:sz w:val="30"/>
          <w:szCs w:val="30"/>
          <w14:textFill>
            <w14:solidFill>
              <w14:schemeClr w14:val="tx1"/>
            </w14:solidFill>
          </w14:textFill>
        </w:rPr>
        <w:t>报告</w:t>
      </w:r>
      <w:r>
        <w:rPr>
          <w:rFonts w:hint="eastAsia" w:ascii="宋体" w:hAnsi="宋体" w:eastAsia="宋体" w:cs="宋体"/>
          <w:color w:val="000000" w:themeColor="text1"/>
          <w:kern w:val="0"/>
          <w:sz w:val="30"/>
          <w:szCs w:val="30"/>
          <w:lang w:eastAsia="zh-CN"/>
          <w14:textFill>
            <w14:solidFill>
              <w14:schemeClr w14:val="tx1"/>
            </w14:solidFill>
          </w14:textFill>
        </w:rPr>
        <w:t>安全科</w:t>
      </w:r>
      <w:r>
        <w:rPr>
          <w:rFonts w:hint="eastAsia" w:ascii="宋体" w:hAnsi="宋体" w:eastAsia="宋体" w:cs="宋体"/>
          <w:color w:val="000000" w:themeColor="text1"/>
          <w:kern w:val="0"/>
          <w:sz w:val="30"/>
          <w:szCs w:val="30"/>
          <w14:textFill>
            <w14:solidFill>
              <w14:schemeClr w14:val="tx1"/>
            </w14:solidFill>
          </w14:textFill>
        </w:rPr>
        <w:t>，</w:t>
      </w:r>
      <w:r>
        <w:rPr>
          <w:rFonts w:hint="eastAsia" w:ascii="宋体" w:hAnsi="宋体" w:eastAsia="宋体" w:cs="宋体"/>
          <w:color w:val="000000" w:themeColor="text1"/>
          <w:kern w:val="0"/>
          <w:sz w:val="30"/>
          <w:szCs w:val="30"/>
          <w:lang w:eastAsia="zh-CN"/>
          <w14:textFill>
            <w14:solidFill>
              <w14:schemeClr w14:val="tx1"/>
            </w14:solidFill>
          </w14:textFill>
        </w:rPr>
        <w:t>安全科</w:t>
      </w:r>
      <w:r>
        <w:rPr>
          <w:rFonts w:hint="eastAsia" w:ascii="宋体" w:hAnsi="宋体" w:eastAsia="宋体" w:cs="宋体"/>
          <w:color w:val="000000" w:themeColor="text1"/>
          <w:kern w:val="0"/>
          <w:sz w:val="30"/>
          <w:szCs w:val="30"/>
          <w14:textFill>
            <w14:solidFill>
              <w14:schemeClr w14:val="tx1"/>
            </w14:solidFill>
          </w14:textFill>
        </w:rPr>
        <w:t>立即报告现场处置总指挥，总指挥下达启动应急救援指令，让通讯组长通知所有参加义务现场处置队员在现场处置附近集合进行应急处理。</w:t>
      </w:r>
    </w:p>
    <w:p w14:paraId="011F560A">
      <w:pPr>
        <w:keepNext w:val="0"/>
        <w:keepLines w:val="0"/>
        <w:pageBreakBefore w:val="0"/>
        <w:widowControl w:val="0"/>
        <w:kinsoku/>
        <w:wordWrap/>
        <w:overflowPunct/>
        <w:topLinePunct w:val="0"/>
        <w:autoSpaceDE/>
        <w:autoSpaceDN/>
        <w:bidi w:val="0"/>
        <w:adjustRightInd/>
        <w:snapToGrid/>
        <w:spacing w:line="360" w:lineRule="auto"/>
        <w:ind w:firstLine="600" w:firstLineChars="20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2</w:t>
      </w:r>
      <w:r>
        <w:rPr>
          <w:rFonts w:hint="eastAsia" w:ascii="宋体" w:hAnsi="宋体" w:eastAsia="宋体" w:cs="宋体"/>
          <w:color w:val="000000" w:themeColor="text1"/>
          <w:kern w:val="0"/>
          <w:sz w:val="30"/>
          <w:szCs w:val="30"/>
          <w:lang w:val="en-US"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预警信号发布后</w:t>
      </w: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领导小组成员、各专业组人员、</w:t>
      </w:r>
      <w:r>
        <w:rPr>
          <w:rFonts w:hint="eastAsia" w:ascii="宋体" w:hAnsi="宋体" w:eastAsia="宋体" w:cs="宋体"/>
          <w:color w:val="000000" w:themeColor="text1"/>
          <w:kern w:val="0"/>
          <w:sz w:val="30"/>
          <w:szCs w:val="30"/>
          <w:lang w:eastAsia="zh-CN"/>
          <w14:textFill>
            <w14:solidFill>
              <w14:schemeClr w14:val="tx1"/>
            </w14:solidFill>
          </w14:textFill>
        </w:rPr>
        <w:t>义务</w:t>
      </w:r>
      <w:r>
        <w:rPr>
          <w:rFonts w:hint="eastAsia" w:ascii="宋体" w:hAnsi="宋体" w:eastAsia="宋体" w:cs="宋体"/>
          <w:color w:val="000000" w:themeColor="text1"/>
          <w:kern w:val="0"/>
          <w:sz w:val="30"/>
          <w:szCs w:val="30"/>
          <w14:textFill>
            <w14:solidFill>
              <w14:schemeClr w14:val="tx1"/>
            </w14:solidFill>
          </w14:textFill>
        </w:rPr>
        <w:t xml:space="preserve">救援队在2分钟内赶赴现场组织抢险救援工作，并向总指挥报告人员到位情况，由应急领导总指挥统一指挥。 </w:t>
      </w:r>
    </w:p>
    <w:p w14:paraId="5422CE93">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14:textFill>
            <w14:solidFill>
              <w14:schemeClr w14:val="tx1"/>
            </w14:solidFill>
          </w14:textFill>
        </w:rPr>
        <w:t>3</w:t>
      </w:r>
      <w:r>
        <w:rPr>
          <w:rFonts w:hint="eastAsia" w:ascii="宋体" w:hAnsi="宋体" w:eastAsia="宋体" w:cs="宋体"/>
          <w:color w:val="000000" w:themeColor="text1"/>
          <w:kern w:val="0"/>
          <w:sz w:val="30"/>
          <w:szCs w:val="30"/>
          <w:lang w:val="en-US"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总指挥视现场情况确定应急等级，当时</w:t>
      </w:r>
      <w:r>
        <w:rPr>
          <w:rFonts w:hint="eastAsia" w:ascii="宋体" w:hAnsi="宋体" w:eastAsia="宋体" w:cs="宋体"/>
          <w:color w:val="000000" w:themeColor="text1"/>
          <w:kern w:val="0"/>
          <w:sz w:val="30"/>
          <w:szCs w:val="30"/>
          <w:lang w:eastAsia="zh-CN"/>
          <w14:textFill>
            <w14:solidFill>
              <w14:schemeClr w14:val="tx1"/>
            </w14:solidFill>
          </w14:textFill>
        </w:rPr>
        <w:t>硫酸泄漏面积较小，</w:t>
      </w:r>
      <w:r>
        <w:rPr>
          <w:rFonts w:hint="eastAsia" w:ascii="宋体" w:hAnsi="宋体" w:eastAsia="宋体" w:cs="宋体"/>
          <w:color w:val="000000" w:themeColor="text1"/>
          <w:kern w:val="0"/>
          <w:sz w:val="30"/>
          <w:szCs w:val="30"/>
          <w14:textFill>
            <w14:solidFill>
              <w14:schemeClr w14:val="tx1"/>
            </w14:solidFill>
          </w14:textFill>
        </w:rPr>
        <w:t>组织</w:t>
      </w:r>
      <w:r>
        <w:rPr>
          <w:rFonts w:hint="eastAsia" w:ascii="宋体" w:hAnsi="宋体" w:eastAsia="宋体" w:cs="宋体"/>
          <w:color w:val="000000" w:themeColor="text1"/>
          <w:kern w:val="0"/>
          <w:sz w:val="30"/>
          <w:szCs w:val="30"/>
          <w:lang w:eastAsia="zh-CN"/>
          <w14:textFill>
            <w14:solidFill>
              <w14:schemeClr w14:val="tx1"/>
            </w14:solidFill>
          </w14:textFill>
        </w:rPr>
        <w:t>救援</w:t>
      </w:r>
      <w:r>
        <w:rPr>
          <w:rFonts w:hint="eastAsia" w:ascii="宋体" w:hAnsi="宋体" w:eastAsia="宋体" w:cs="宋体"/>
          <w:color w:val="000000" w:themeColor="text1"/>
          <w:kern w:val="0"/>
          <w:sz w:val="30"/>
          <w:szCs w:val="30"/>
          <w14:textFill>
            <w14:solidFill>
              <w14:schemeClr w14:val="tx1"/>
            </w14:solidFill>
          </w14:textFill>
        </w:rPr>
        <w:t>人员</w:t>
      </w:r>
      <w:r>
        <w:rPr>
          <w:rFonts w:hint="eastAsia" w:ascii="宋体" w:hAnsi="宋体" w:eastAsia="宋体" w:cs="宋体"/>
          <w:color w:val="000000" w:themeColor="text1"/>
          <w:kern w:val="0"/>
          <w:sz w:val="30"/>
          <w:szCs w:val="30"/>
          <w:lang w:eastAsia="zh-CN"/>
          <w14:textFill>
            <w14:solidFill>
              <w14:schemeClr w14:val="tx1"/>
            </w14:solidFill>
          </w14:textFill>
        </w:rPr>
        <w:t>现场处置。</w:t>
      </w:r>
    </w:p>
    <w:p w14:paraId="1515E186">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bookmarkStart w:id="12" w:name="_Toc25084_WPSOffice_Level2"/>
      <w:r>
        <w:rPr>
          <w:rFonts w:hint="eastAsia" w:ascii="宋体" w:hAnsi="宋体" w:eastAsia="宋体" w:cs="宋体"/>
          <w:color w:val="000000" w:themeColor="text1"/>
          <w:kern w:val="0"/>
          <w:sz w:val="30"/>
          <w:szCs w:val="30"/>
          <w14:textFill>
            <w14:solidFill>
              <w14:schemeClr w14:val="tx1"/>
            </w14:solidFill>
          </w14:textFill>
        </w:rPr>
        <w:t>4.事故应急处置程序</w:t>
      </w:r>
      <w:bookmarkEnd w:id="12"/>
    </w:p>
    <w:p w14:paraId="23043472">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lang w:eastAsia="zh-CN"/>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lang w:val="en-US" w:eastAsia="zh-CN"/>
          <w14:textFill>
            <w14:solidFill>
              <w14:schemeClr w14:val="tx1"/>
            </w14:solidFill>
          </w14:textFill>
        </w:rPr>
        <w:t>1</w:t>
      </w: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立即报警：发现硫酸泄漏后，</w:t>
      </w:r>
      <w:r>
        <w:rPr>
          <w:rFonts w:hint="eastAsia" w:ascii="宋体" w:hAnsi="宋体" w:eastAsia="宋体" w:cs="宋体"/>
          <w:color w:val="000000" w:themeColor="text1"/>
          <w:kern w:val="0"/>
          <w:sz w:val="30"/>
          <w:szCs w:val="30"/>
          <w:lang w:eastAsia="zh-CN"/>
          <w14:textFill>
            <w14:solidFill>
              <w14:schemeClr w14:val="tx1"/>
            </w14:solidFill>
          </w14:textFill>
        </w:rPr>
        <w:t>现场作业</w:t>
      </w:r>
      <w:r>
        <w:rPr>
          <w:rFonts w:hint="eastAsia" w:ascii="宋体" w:hAnsi="宋体" w:eastAsia="宋体" w:cs="宋体"/>
          <w:color w:val="000000" w:themeColor="text1"/>
          <w:kern w:val="0"/>
          <w:sz w:val="30"/>
          <w:szCs w:val="30"/>
          <w14:textFill>
            <w14:solidFill>
              <w14:schemeClr w14:val="tx1"/>
            </w14:solidFill>
          </w14:textFill>
        </w:rPr>
        <w:t>人员应立即向安全负责人报告，同时采取必要的应急措施，如关闭相关阀门等。安全负责人根据事故情况决定是否启动应急预案。</w:t>
      </w:r>
    </w:p>
    <w:p w14:paraId="1F17C773">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lang w:val="en-US" w:eastAsia="zh-CN"/>
          <w14:textFill>
            <w14:solidFill>
              <w14:schemeClr w14:val="tx1"/>
            </w14:solidFill>
          </w14:textFill>
        </w:rPr>
        <w:t>2</w:t>
      </w:r>
      <w:r>
        <w:rPr>
          <w:rFonts w:hint="eastAsia" w:ascii="宋体" w:hAnsi="宋体" w:eastAsia="宋体" w:cs="宋体"/>
          <w:color w:val="000000" w:themeColor="text1"/>
          <w:kern w:val="0"/>
          <w:sz w:val="30"/>
          <w:szCs w:val="30"/>
          <w:lang w:eastAsia="zh-CN"/>
          <w14:textFill>
            <w14:solidFill>
              <w14:schemeClr w14:val="tx1"/>
            </w14:solidFill>
          </w14:textFill>
        </w:rPr>
        <w:t>）现场处置：</w:t>
      </w:r>
      <w:r>
        <w:rPr>
          <w:rFonts w:hint="eastAsia" w:ascii="宋体" w:hAnsi="宋体" w:eastAsia="宋体" w:cs="宋体"/>
          <w:color w:val="000000" w:themeColor="text1"/>
          <w:kern w:val="0"/>
          <w:sz w:val="30"/>
          <w:szCs w:val="30"/>
          <w14:textFill>
            <w14:solidFill>
              <w14:schemeClr w14:val="tx1"/>
            </w14:solidFill>
          </w14:textFill>
        </w:rPr>
        <w:t>救援疏散组迅速组织</w:t>
      </w:r>
      <w:r>
        <w:rPr>
          <w:rFonts w:hint="eastAsia" w:ascii="宋体" w:hAnsi="宋体" w:eastAsia="宋体" w:cs="宋体"/>
          <w:color w:val="000000" w:themeColor="text1"/>
          <w:kern w:val="0"/>
          <w:sz w:val="30"/>
          <w:szCs w:val="30"/>
          <w:lang w:eastAsia="zh-CN"/>
          <w14:textFill>
            <w14:solidFill>
              <w14:schemeClr w14:val="tx1"/>
            </w14:solidFill>
          </w14:textFill>
        </w:rPr>
        <w:t>义务</w:t>
      </w:r>
      <w:r>
        <w:rPr>
          <w:rFonts w:hint="eastAsia" w:ascii="宋体" w:hAnsi="宋体" w:eastAsia="宋体" w:cs="宋体"/>
          <w:color w:val="000000" w:themeColor="text1"/>
          <w:kern w:val="0"/>
          <w:sz w:val="30"/>
          <w:szCs w:val="30"/>
          <w14:textFill>
            <w14:solidFill>
              <w14:schemeClr w14:val="tx1"/>
            </w14:solidFill>
          </w14:textFill>
        </w:rPr>
        <w:t>救援人员赶到现场，穿戴合适的个人防护用品，如防护服、手套、口罩等</w:t>
      </w: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按照应急处置程序进行操作，使用中和剂处理泄漏的硫酸。</w:t>
      </w:r>
    </w:p>
    <w:p w14:paraId="2F90C167">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（3）</w:t>
      </w:r>
      <w:r>
        <w:rPr>
          <w:rFonts w:hint="eastAsia" w:ascii="宋体" w:hAnsi="宋体" w:eastAsia="宋体" w:cs="宋体"/>
          <w:color w:val="000000" w:themeColor="text1"/>
          <w:kern w:val="0"/>
          <w:sz w:val="30"/>
          <w:szCs w:val="30"/>
          <w14:textFill>
            <w14:solidFill>
              <w14:schemeClr w14:val="tx1"/>
            </w14:solidFill>
          </w14:textFill>
        </w:rPr>
        <w:t>安全疏散：在处理泄漏事故过程中，应急救援</w:t>
      </w:r>
      <w:r>
        <w:rPr>
          <w:rFonts w:hint="eastAsia" w:ascii="宋体" w:hAnsi="宋体" w:eastAsia="宋体" w:cs="宋体"/>
          <w:color w:val="000000" w:themeColor="text1"/>
          <w:kern w:val="0"/>
          <w:sz w:val="30"/>
          <w:szCs w:val="30"/>
          <w:lang w:eastAsia="zh-CN"/>
          <w14:textFill>
            <w14:solidFill>
              <w14:schemeClr w14:val="tx1"/>
            </w14:solidFill>
          </w14:textFill>
        </w:rPr>
        <w:t>组</w:t>
      </w:r>
      <w:r>
        <w:rPr>
          <w:rFonts w:hint="eastAsia" w:ascii="宋体" w:hAnsi="宋体" w:eastAsia="宋体" w:cs="宋体"/>
          <w:color w:val="000000" w:themeColor="text1"/>
          <w:kern w:val="0"/>
          <w:sz w:val="30"/>
          <w:szCs w:val="30"/>
          <w14:textFill>
            <w14:solidFill>
              <w14:schemeClr w14:val="tx1"/>
            </w14:solidFill>
          </w14:textFill>
        </w:rPr>
        <w:t>应组织员工和周边人员疏散到安全区域，确保人员安全。</w:t>
      </w:r>
    </w:p>
    <w:p w14:paraId="4263BF59">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（4）</w:t>
      </w:r>
      <w:r>
        <w:rPr>
          <w:rFonts w:hint="eastAsia" w:ascii="宋体" w:hAnsi="宋体" w:eastAsia="宋体" w:cs="宋体"/>
          <w:color w:val="000000" w:themeColor="text1"/>
          <w:kern w:val="0"/>
          <w:sz w:val="30"/>
          <w:szCs w:val="30"/>
          <w14:textFill>
            <w14:solidFill>
              <w14:schemeClr w14:val="tx1"/>
            </w14:solidFill>
          </w14:textFill>
        </w:rPr>
        <w:t>清理现场：泄漏事故处理完毕后，应急救援队应组织人员清理现场，确保现场安全无隐患</w:t>
      </w:r>
      <w:r>
        <w:rPr>
          <w:rFonts w:hint="eastAsia" w:ascii="宋体" w:hAnsi="宋体" w:eastAsia="宋体" w:cs="宋体"/>
          <w:color w:val="000000" w:themeColor="text1"/>
          <w:kern w:val="0"/>
          <w:sz w:val="30"/>
          <w:szCs w:val="30"/>
          <w:lang w:eastAsia="zh-CN"/>
          <w14:textFill>
            <w14:solidFill>
              <w14:schemeClr w14:val="tx1"/>
            </w14:solidFill>
          </w14:textFill>
        </w:rPr>
        <w:t>，环境无污染</w:t>
      </w:r>
      <w:r>
        <w:rPr>
          <w:rFonts w:hint="eastAsia" w:ascii="宋体" w:hAnsi="宋体" w:eastAsia="宋体" w:cs="宋体"/>
          <w:color w:val="000000" w:themeColor="text1"/>
          <w:kern w:val="0"/>
          <w:sz w:val="30"/>
          <w:szCs w:val="30"/>
          <w14:textFill>
            <w14:solidFill>
              <w14:schemeClr w14:val="tx1"/>
            </w14:solidFill>
          </w14:textFill>
        </w:rPr>
        <w:t>。</w:t>
      </w:r>
    </w:p>
    <w:p w14:paraId="11C0FD3A">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（5）</w:t>
      </w:r>
      <w:r>
        <w:rPr>
          <w:rFonts w:hint="eastAsia" w:ascii="宋体" w:hAnsi="宋体" w:eastAsia="宋体" w:cs="宋体"/>
          <w:color w:val="000000" w:themeColor="text1"/>
          <w:kern w:val="0"/>
          <w:sz w:val="30"/>
          <w:szCs w:val="30"/>
          <w14:textFill>
            <w14:solidFill>
              <w14:schemeClr w14:val="tx1"/>
            </w14:solidFill>
          </w14:textFill>
        </w:rPr>
        <w:t>总结评估：事故处理完毕后，事故调查组负责人应组织相关人员对事故进行总结评估，分析原因，总结经验教训，提出改进措施，完善防范措施。</w:t>
      </w:r>
    </w:p>
    <w:p w14:paraId="5ABF7C40">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bookmarkStart w:id="13" w:name="_Toc36326228"/>
      <w:r>
        <w:rPr>
          <w:rFonts w:hint="eastAsia" w:ascii="宋体" w:hAnsi="宋体" w:eastAsia="宋体" w:cs="宋体"/>
          <w:color w:val="000000" w:themeColor="text1"/>
          <w:kern w:val="0"/>
          <w:sz w:val="30"/>
          <w:szCs w:val="30"/>
          <w:lang w:val="en-US" w:eastAsia="zh-CN"/>
          <w14:textFill>
            <w14:solidFill>
              <w14:schemeClr w14:val="tx1"/>
            </w14:solidFill>
          </w14:textFill>
        </w:rPr>
        <w:t>5、</w:t>
      </w:r>
      <w:r>
        <w:rPr>
          <w:rFonts w:hint="eastAsia" w:ascii="宋体" w:hAnsi="宋体" w:eastAsia="宋体" w:cs="宋体"/>
          <w:color w:val="000000" w:themeColor="text1"/>
          <w:kern w:val="0"/>
          <w:sz w:val="30"/>
          <w:szCs w:val="30"/>
          <w14:textFill>
            <w14:solidFill>
              <w14:schemeClr w14:val="tx1"/>
            </w14:solidFill>
          </w14:textFill>
        </w:rPr>
        <w:t>注意事项</w:t>
      </w:r>
      <w:bookmarkEnd w:id="13"/>
    </w:p>
    <w:p w14:paraId="35386005">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（1）</w:t>
      </w:r>
      <w:r>
        <w:rPr>
          <w:rFonts w:hint="eastAsia" w:ascii="宋体" w:hAnsi="宋体" w:eastAsia="宋体" w:cs="宋体"/>
          <w:color w:val="000000" w:themeColor="text1"/>
          <w:kern w:val="0"/>
          <w:sz w:val="30"/>
          <w:szCs w:val="30"/>
          <w14:textFill>
            <w14:solidFill>
              <w14:schemeClr w14:val="tx1"/>
            </w14:solidFill>
          </w14:textFill>
        </w:rPr>
        <w:t>在处理硫酸泄漏事故时，必须穿戴合适的个人防护用品，确保人身安全。</w:t>
      </w:r>
    </w:p>
    <w:p w14:paraId="36140758">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lang w:val="en-US" w:eastAsia="zh-CN"/>
          <w14:textFill>
            <w14:solidFill>
              <w14:schemeClr w14:val="tx1"/>
            </w14:solidFill>
          </w14:textFill>
        </w:rPr>
        <w:t>2</w:t>
      </w: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在组织救援和清理现场时，应严格遵守相关法规和标准，确保处置过程的安全性和有效性。</w:t>
      </w:r>
    </w:p>
    <w:p w14:paraId="5045275E">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lang w:val="en-US" w:eastAsia="zh-CN"/>
          <w14:textFill>
            <w14:solidFill>
              <w14:schemeClr w14:val="tx1"/>
            </w14:solidFill>
          </w14:textFill>
        </w:rPr>
        <w:t>3</w:t>
      </w:r>
      <w:r>
        <w:rPr>
          <w:rFonts w:hint="eastAsia" w:ascii="宋体" w:hAnsi="宋体" w:eastAsia="宋体" w:cs="宋体"/>
          <w:color w:val="000000" w:themeColor="text1"/>
          <w:kern w:val="0"/>
          <w:sz w:val="30"/>
          <w:szCs w:val="30"/>
          <w:lang w:eastAsia="zh-CN"/>
          <w14:textFill>
            <w14:solidFill>
              <w14:schemeClr w14:val="tx1"/>
            </w14:solidFill>
          </w14:textFill>
        </w:rPr>
        <w:t>）</w:t>
      </w:r>
      <w:r>
        <w:rPr>
          <w:rFonts w:hint="eastAsia" w:ascii="宋体" w:hAnsi="宋体" w:eastAsia="宋体" w:cs="宋体"/>
          <w:color w:val="000000" w:themeColor="text1"/>
          <w:kern w:val="0"/>
          <w:sz w:val="30"/>
          <w:szCs w:val="30"/>
          <w14:textFill>
            <w14:solidFill>
              <w14:schemeClr w14:val="tx1"/>
            </w14:solidFill>
          </w14:textFill>
        </w:rPr>
        <w:t>在总结评估事故时，应认真分析原因，总结经验教训，提出改进措施，完善防范措施，预防类似事故再次发生。</w:t>
      </w:r>
    </w:p>
    <w:p w14:paraId="79953806">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6</w:t>
      </w:r>
      <w:r>
        <w:rPr>
          <w:rFonts w:hint="eastAsia" w:ascii="宋体" w:hAnsi="宋体" w:eastAsia="宋体" w:cs="宋体"/>
          <w:color w:val="000000" w:themeColor="text1"/>
          <w:kern w:val="0"/>
          <w:sz w:val="30"/>
          <w:szCs w:val="30"/>
          <w14:textFill>
            <w14:solidFill>
              <w14:schemeClr w14:val="tx1"/>
            </w14:solidFill>
          </w14:textFill>
        </w:rPr>
        <w:t>、总指挥对演练进行点评，请公司领导讲话，最后由总指挥宣布演练结束。</w:t>
      </w:r>
    </w:p>
    <w:p w14:paraId="37054AB3">
      <w:pPr>
        <w:keepNext w:val="0"/>
        <w:keepLines w:val="0"/>
        <w:pageBreakBefore w:val="0"/>
        <w:widowControl w:val="0"/>
        <w:kinsoku/>
        <w:wordWrap/>
        <w:overflowPunct/>
        <w:topLinePunct w:val="0"/>
        <w:autoSpaceDE/>
        <w:autoSpaceDN/>
        <w:bidi w:val="0"/>
        <w:adjustRightInd/>
        <w:snapToGrid/>
        <w:spacing w:line="360" w:lineRule="auto"/>
        <w:ind w:firstLine="450" w:firstLineChars="150"/>
        <w:textAlignment w:val="auto"/>
        <w:rPr>
          <w:rFonts w:hint="eastAsia" w:ascii="宋体" w:hAnsi="宋体" w:eastAsia="宋体" w:cs="宋体"/>
          <w:color w:val="000000" w:themeColor="text1"/>
          <w:kern w:val="0"/>
          <w:sz w:val="30"/>
          <w:szCs w:val="30"/>
          <w14:textFill>
            <w14:solidFill>
              <w14:schemeClr w14:val="tx1"/>
            </w14:solidFill>
          </w14:textFill>
        </w:rPr>
      </w:pPr>
      <w:r>
        <w:rPr>
          <w:rFonts w:hint="eastAsia" w:ascii="宋体" w:hAnsi="宋体" w:eastAsia="宋体" w:cs="宋体"/>
          <w:color w:val="000000" w:themeColor="text1"/>
          <w:kern w:val="0"/>
          <w:sz w:val="30"/>
          <w:szCs w:val="30"/>
          <w:lang w:val="en-US" w:eastAsia="zh-CN"/>
          <w14:textFill>
            <w14:solidFill>
              <w14:schemeClr w14:val="tx1"/>
            </w14:solidFill>
          </w14:textFill>
        </w:rPr>
        <w:t>7</w:t>
      </w:r>
      <w:r>
        <w:rPr>
          <w:rFonts w:hint="eastAsia" w:ascii="宋体" w:hAnsi="宋体" w:eastAsia="宋体" w:cs="宋体"/>
          <w:color w:val="000000" w:themeColor="text1"/>
          <w:kern w:val="0"/>
          <w:sz w:val="30"/>
          <w:szCs w:val="30"/>
          <w14:textFill>
            <w14:solidFill>
              <w14:schemeClr w14:val="tx1"/>
            </w14:solidFill>
          </w14:textFill>
        </w:rPr>
        <w:t>、演习结束后，整理现场，安全科根据演练情况写出演练总结，根据实际情况对预案进行优化、补充完善。</w:t>
      </w:r>
    </w:p>
    <w:p w14:paraId="762A0ECB">
      <w:pPr>
        <w:pageBreakBefore w:val="0"/>
        <w:kinsoku/>
        <w:wordWrap/>
        <w:overflowPunct/>
        <w:topLinePunct w:val="0"/>
        <w:autoSpaceDE/>
        <w:autoSpaceDN/>
        <w:bidi w:val="0"/>
        <w:adjustRightInd/>
        <w:snapToGrid/>
        <w:spacing w:line="360" w:lineRule="auto"/>
        <w:ind w:firstLine="360" w:firstLineChars="150"/>
        <w:textAlignment w:val="auto"/>
        <w:rPr>
          <w:rFonts w:hint="eastAsia" w:ascii="宋体" w:hAnsi="宋体" w:eastAsia="宋体" w:cs="宋体"/>
          <w:color w:val="000000" w:themeColor="text1"/>
          <w:kern w:val="0"/>
          <w:sz w:val="24"/>
          <w:szCs w:val="24"/>
          <w14:textFill>
            <w14:solidFill>
              <w14:schemeClr w14:val="tx1"/>
            </w14:solidFill>
          </w14:textFill>
        </w:rPr>
      </w:pPr>
    </w:p>
    <w:p w14:paraId="390B56F6">
      <w:pPr>
        <w:pageBreakBefore w:val="0"/>
        <w:kinsoku/>
        <w:wordWrap/>
        <w:overflowPunct/>
        <w:topLinePunct w:val="0"/>
        <w:autoSpaceDE/>
        <w:autoSpaceDN/>
        <w:bidi w:val="0"/>
        <w:adjustRightInd/>
        <w:snapToGrid/>
        <w:spacing w:line="360" w:lineRule="auto"/>
        <w:ind w:firstLine="360" w:firstLineChars="150"/>
        <w:textAlignment w:val="auto"/>
        <w:rPr>
          <w:rFonts w:hint="eastAsia" w:ascii="宋体" w:hAnsi="宋体" w:eastAsia="宋体" w:cs="宋体"/>
          <w:color w:val="000000" w:themeColor="text1"/>
          <w:kern w:val="0"/>
          <w:sz w:val="24"/>
          <w:szCs w:val="24"/>
          <w14:textFill>
            <w14:solidFill>
              <w14:schemeClr w14:val="tx1"/>
            </w14:solidFill>
          </w14:textFill>
        </w:rPr>
      </w:pPr>
    </w:p>
    <w:p w14:paraId="0EA9CCB8">
      <w:pPr>
        <w:pageBreakBefore w:val="0"/>
        <w:kinsoku/>
        <w:wordWrap/>
        <w:overflowPunct/>
        <w:topLinePunct w:val="0"/>
        <w:autoSpaceDE/>
        <w:autoSpaceDN/>
        <w:bidi w:val="0"/>
        <w:adjustRightInd/>
        <w:snapToGrid/>
        <w:spacing w:line="360" w:lineRule="auto"/>
        <w:ind w:firstLine="360" w:firstLineChars="150"/>
        <w:textAlignment w:val="auto"/>
        <w:rPr>
          <w:rFonts w:hint="eastAsia" w:ascii="宋体" w:hAnsi="宋体" w:eastAsia="宋体" w:cs="宋体"/>
          <w:color w:val="000000" w:themeColor="text1"/>
          <w:kern w:val="0"/>
          <w:sz w:val="24"/>
          <w:szCs w:val="24"/>
          <w14:textFill>
            <w14:solidFill>
              <w14:schemeClr w14:val="tx1"/>
            </w14:solidFill>
          </w14:textFill>
        </w:rPr>
      </w:pPr>
    </w:p>
    <w:p w14:paraId="12A151C3">
      <w:pPr>
        <w:pageBreakBefore w:val="0"/>
        <w:kinsoku/>
        <w:wordWrap/>
        <w:overflowPunct/>
        <w:topLinePunct w:val="0"/>
        <w:autoSpaceDE/>
        <w:autoSpaceDN/>
        <w:bidi w:val="0"/>
        <w:adjustRightInd/>
        <w:snapToGrid/>
        <w:spacing w:line="360" w:lineRule="auto"/>
        <w:textAlignment w:val="auto"/>
        <w:rPr>
          <w:rFonts w:hint="eastAsia" w:ascii="宋体" w:hAnsi="宋体" w:eastAsia="宋体" w:cs="宋体"/>
          <w:color w:val="000000" w:themeColor="text1"/>
          <w:kern w:val="0"/>
          <w:sz w:val="24"/>
          <w:szCs w:val="24"/>
          <w14:textFill>
            <w14:solidFill>
              <w14:schemeClr w14:val="tx1"/>
            </w14:solidFill>
          </w14:textFill>
        </w:rPr>
      </w:pPr>
    </w:p>
    <w:p w14:paraId="615DE7EE">
      <w:pPr>
        <w:spacing w:line="360" w:lineRule="auto"/>
        <w:rPr>
          <w:rFonts w:ascii="宋体" w:hAnsi="宋体" w:eastAsia="宋体" w:cs="宋体"/>
          <w:color w:val="000000" w:themeColor="text1"/>
          <w:kern w:val="0"/>
          <w:sz w:val="24"/>
          <w:szCs w:val="24"/>
          <w14:textFill>
            <w14:solidFill>
              <w14:schemeClr w14:val="tx1"/>
            </w14:solidFill>
          </w14:textFill>
        </w:rPr>
      </w:pPr>
    </w:p>
    <w:p w14:paraId="3809C4B2">
      <w:pPr>
        <w:spacing w:line="360" w:lineRule="auto"/>
        <w:rPr>
          <w:rFonts w:ascii="宋体" w:hAnsi="宋体" w:eastAsia="宋体" w:cs="宋体"/>
          <w:color w:val="000000" w:themeColor="text1"/>
          <w:kern w:val="0"/>
          <w:sz w:val="24"/>
          <w:szCs w:val="24"/>
          <w14:textFill>
            <w14:solidFill>
              <w14:schemeClr w14:val="tx1"/>
            </w14:solidFill>
          </w14:textFill>
        </w:rPr>
      </w:pPr>
    </w:p>
    <w:p w14:paraId="29ABFE56">
      <w:pPr>
        <w:spacing w:line="360" w:lineRule="auto"/>
        <w:rPr>
          <w:rFonts w:ascii="宋体" w:hAnsi="宋体" w:eastAsia="宋体" w:cs="宋体"/>
          <w:color w:val="000000" w:themeColor="text1"/>
          <w:kern w:val="0"/>
          <w:sz w:val="24"/>
          <w:szCs w:val="24"/>
          <w14:textFill>
            <w14:solidFill>
              <w14:schemeClr w14:val="tx1"/>
            </w14:solidFill>
          </w14:textFill>
        </w:rPr>
      </w:pPr>
    </w:p>
    <w:p w14:paraId="59DA8A32">
      <w:pPr>
        <w:spacing w:line="360" w:lineRule="auto"/>
        <w:rPr>
          <w:rFonts w:ascii="宋体" w:hAnsi="宋体" w:eastAsia="宋体" w:cs="宋体"/>
          <w:color w:val="000000" w:themeColor="text1"/>
          <w:kern w:val="0"/>
          <w:sz w:val="24"/>
          <w:szCs w:val="24"/>
          <w14:textFill>
            <w14:solidFill>
              <w14:schemeClr w14:val="tx1"/>
            </w14:solidFill>
          </w14:textFill>
        </w:rPr>
      </w:pPr>
    </w:p>
    <w:p w14:paraId="47927127">
      <w:pPr>
        <w:spacing w:line="360" w:lineRule="auto"/>
        <w:rPr>
          <w:rFonts w:ascii="宋体" w:hAnsi="宋体" w:eastAsia="宋体" w:cs="宋体"/>
          <w:color w:val="000000" w:themeColor="text1"/>
          <w:kern w:val="0"/>
          <w:sz w:val="24"/>
          <w:szCs w:val="24"/>
          <w14:textFill>
            <w14:solidFill>
              <w14:schemeClr w14:val="tx1"/>
            </w14:solidFill>
          </w14:textFill>
        </w:rPr>
      </w:pPr>
    </w:p>
    <w:p w14:paraId="5FCE9BC3">
      <w:pPr>
        <w:spacing w:line="360" w:lineRule="auto"/>
        <w:rPr>
          <w:rFonts w:ascii="宋体" w:hAnsi="宋体" w:eastAsia="宋体" w:cs="宋体"/>
          <w:color w:val="000000" w:themeColor="text1"/>
          <w:kern w:val="0"/>
          <w:sz w:val="24"/>
          <w:szCs w:val="24"/>
          <w14:textFill>
            <w14:solidFill>
              <w14:schemeClr w14:val="tx1"/>
            </w14:solidFill>
          </w14:textFill>
        </w:rPr>
      </w:pPr>
    </w:p>
    <w:p w14:paraId="01B132B8">
      <w:pPr>
        <w:spacing w:line="360" w:lineRule="auto"/>
        <w:rPr>
          <w:rFonts w:ascii="宋体" w:hAnsi="宋体" w:eastAsia="宋体" w:cs="宋体"/>
          <w:color w:val="000000" w:themeColor="text1"/>
          <w:kern w:val="0"/>
          <w:sz w:val="24"/>
          <w:szCs w:val="24"/>
          <w14:textFill>
            <w14:solidFill>
              <w14:schemeClr w14:val="tx1"/>
            </w14:solidFill>
          </w14:textFill>
        </w:rPr>
      </w:pPr>
    </w:p>
    <w:p w14:paraId="225DCC8C">
      <w:pPr>
        <w:spacing w:line="360" w:lineRule="auto"/>
        <w:rPr>
          <w:rFonts w:ascii="宋体" w:hAnsi="宋体" w:eastAsia="宋体" w:cs="宋体"/>
          <w:color w:val="000000" w:themeColor="text1"/>
          <w:kern w:val="0"/>
          <w:sz w:val="24"/>
          <w:szCs w:val="24"/>
          <w14:textFill>
            <w14:solidFill>
              <w14:schemeClr w14:val="tx1"/>
            </w14:solidFill>
          </w14:textFill>
        </w:rPr>
      </w:pPr>
    </w:p>
    <w:tbl>
      <w:tblPr>
        <w:tblStyle w:val="5"/>
        <w:tblW w:w="8773" w:type="dxa"/>
        <w:tblInd w:w="96" w:type="dxa"/>
        <w:tblLayout w:type="autofit"/>
        <w:tblCellMar>
          <w:top w:w="0" w:type="dxa"/>
          <w:left w:w="108" w:type="dxa"/>
          <w:bottom w:w="0" w:type="dxa"/>
          <w:right w:w="108" w:type="dxa"/>
        </w:tblCellMar>
      </w:tblPr>
      <w:tblGrid>
        <w:gridCol w:w="967"/>
        <w:gridCol w:w="926"/>
        <w:gridCol w:w="1471"/>
        <w:gridCol w:w="1352"/>
        <w:gridCol w:w="1351"/>
        <w:gridCol w:w="1351"/>
        <w:gridCol w:w="1355"/>
      </w:tblGrid>
      <w:tr w14:paraId="389690F4">
        <w:tblPrEx>
          <w:tblCellMar>
            <w:top w:w="0" w:type="dxa"/>
            <w:left w:w="108" w:type="dxa"/>
            <w:bottom w:w="0" w:type="dxa"/>
            <w:right w:w="108" w:type="dxa"/>
          </w:tblCellMar>
        </w:tblPrEx>
        <w:trPr>
          <w:trHeight w:val="629" w:hRule="atLeast"/>
        </w:trPr>
        <w:tc>
          <w:tcPr>
            <w:tcW w:w="8773" w:type="dxa"/>
            <w:gridSpan w:val="7"/>
            <w:tcBorders>
              <w:top w:val="nil"/>
              <w:left w:val="nil"/>
              <w:bottom w:val="single" w:color="000000" w:sz="4" w:space="0"/>
              <w:right w:val="nil"/>
            </w:tcBorders>
            <w:vAlign w:val="center"/>
          </w:tcPr>
          <w:p w14:paraId="436A81CD">
            <w:pPr>
              <w:jc w:val="center"/>
              <w:rPr>
                <w:sz w:val="32"/>
                <w:szCs w:val="32"/>
              </w:rPr>
            </w:pPr>
            <w:r>
              <w:rPr>
                <w:rFonts w:hint="eastAsia" w:ascii="宋体" w:hAnsi="宋体" w:eastAsia="宋体" w:cs="宋体"/>
                <w:b/>
                <w:bCs/>
                <w:sz w:val="30"/>
                <w:szCs w:val="30"/>
              </w:rPr>
              <w:t>应急预案演练记录表</w:t>
            </w:r>
          </w:p>
        </w:tc>
      </w:tr>
      <w:tr w14:paraId="532E5BC0">
        <w:tblPrEx>
          <w:tblCellMar>
            <w:top w:w="0" w:type="dxa"/>
            <w:left w:w="108" w:type="dxa"/>
            <w:bottom w:w="0" w:type="dxa"/>
            <w:right w:w="108" w:type="dxa"/>
          </w:tblCellMar>
        </w:tblPrEx>
        <w:trPr>
          <w:trHeight w:val="494" w:hRule="atLeast"/>
        </w:trPr>
        <w:tc>
          <w:tcPr>
            <w:tcW w:w="1893" w:type="dxa"/>
            <w:gridSpan w:val="2"/>
            <w:tcBorders>
              <w:top w:val="single" w:color="000000" w:sz="4" w:space="0"/>
              <w:left w:val="single" w:color="000000" w:sz="4" w:space="0"/>
              <w:bottom w:val="single" w:color="000000" w:sz="4" w:space="0"/>
              <w:right w:val="single" w:color="000000" w:sz="4" w:space="0"/>
            </w:tcBorders>
            <w:vAlign w:val="center"/>
          </w:tcPr>
          <w:p w14:paraId="7F35306D">
            <w:pPr>
              <w:rPr>
                <w:rFonts w:hint="eastAsia" w:ascii="宋体" w:hAnsi="宋体" w:eastAsia="宋体" w:cs="宋体"/>
                <w:b w:val="0"/>
                <w:bCs w:val="0"/>
              </w:rPr>
            </w:pPr>
            <w:r>
              <w:rPr>
                <w:rFonts w:hint="eastAsia" w:ascii="宋体" w:hAnsi="宋体" w:eastAsia="宋体" w:cs="宋体"/>
                <w:b w:val="0"/>
                <w:bCs w:val="0"/>
              </w:rPr>
              <w:t>预案名称</w:t>
            </w:r>
          </w:p>
        </w:tc>
        <w:tc>
          <w:tcPr>
            <w:tcW w:w="4174" w:type="dxa"/>
            <w:gridSpan w:val="3"/>
            <w:tcBorders>
              <w:top w:val="single" w:color="000000" w:sz="4" w:space="0"/>
              <w:left w:val="single" w:color="000000" w:sz="4" w:space="0"/>
              <w:bottom w:val="single" w:color="000000" w:sz="4" w:space="0"/>
              <w:right w:val="single" w:color="000000" w:sz="4" w:space="0"/>
            </w:tcBorders>
            <w:vAlign w:val="center"/>
          </w:tcPr>
          <w:p w14:paraId="3C0BE4AC">
            <w:pPr>
              <w:jc w:val="center"/>
              <w:rPr>
                <w:rFonts w:hint="eastAsia" w:ascii="宋体" w:hAnsi="宋体" w:eastAsia="宋体" w:cs="宋体"/>
                <w:b w:val="0"/>
                <w:bCs w:val="0"/>
                <w:lang w:eastAsia="zh-CN"/>
              </w:rPr>
            </w:pPr>
            <w:r>
              <w:rPr>
                <w:rFonts w:hint="eastAsia" w:ascii="宋体" w:hAnsi="宋体" w:eastAsia="宋体" w:cs="宋体"/>
                <w:b w:val="0"/>
                <w:bCs w:val="0"/>
                <w:lang w:eastAsia="zh-CN"/>
              </w:rPr>
              <w:t>硫酸泄漏</w:t>
            </w:r>
            <w:r>
              <w:rPr>
                <w:rFonts w:hint="eastAsia" w:ascii="宋体" w:hAnsi="宋体" w:eastAsia="宋体" w:cs="宋体"/>
                <w:b w:val="0"/>
                <w:bCs w:val="0"/>
              </w:rPr>
              <w:t>事故</w:t>
            </w:r>
            <w:r>
              <w:rPr>
                <w:rFonts w:hint="eastAsia" w:ascii="宋体" w:hAnsi="宋体" w:eastAsia="宋体" w:cs="宋体"/>
                <w:b w:val="0"/>
                <w:bCs w:val="0"/>
                <w:lang w:eastAsia="zh-CN"/>
              </w:rPr>
              <w:t>现场</w:t>
            </w:r>
            <w:r>
              <w:rPr>
                <w:rFonts w:hint="eastAsia" w:ascii="宋体" w:hAnsi="宋体" w:eastAsia="宋体" w:cs="宋体"/>
                <w:b w:val="0"/>
                <w:bCs w:val="0"/>
              </w:rPr>
              <w:t>应急</w:t>
            </w:r>
            <w:r>
              <w:rPr>
                <w:rFonts w:hint="eastAsia" w:ascii="宋体" w:hAnsi="宋体" w:eastAsia="宋体" w:cs="宋体"/>
                <w:b w:val="0"/>
                <w:bCs w:val="0"/>
                <w:lang w:eastAsia="zh-CN"/>
              </w:rPr>
              <w:t>处置演练</w:t>
            </w:r>
          </w:p>
        </w:tc>
        <w:tc>
          <w:tcPr>
            <w:tcW w:w="1351" w:type="dxa"/>
            <w:tcBorders>
              <w:top w:val="single" w:color="000000" w:sz="4" w:space="0"/>
              <w:left w:val="single" w:color="000000" w:sz="4" w:space="0"/>
              <w:bottom w:val="single" w:color="000000" w:sz="4" w:space="0"/>
              <w:right w:val="single" w:color="000000" w:sz="4" w:space="0"/>
            </w:tcBorders>
            <w:vAlign w:val="center"/>
          </w:tcPr>
          <w:p w14:paraId="2BD61275">
            <w:pPr>
              <w:rPr>
                <w:rFonts w:hint="eastAsia" w:ascii="宋体" w:hAnsi="宋体" w:eastAsia="宋体" w:cs="宋体"/>
                <w:b w:val="0"/>
                <w:bCs w:val="0"/>
              </w:rPr>
            </w:pPr>
            <w:r>
              <w:rPr>
                <w:rFonts w:hint="eastAsia" w:ascii="宋体" w:hAnsi="宋体" w:eastAsia="宋体" w:cs="宋体"/>
                <w:b w:val="0"/>
                <w:bCs w:val="0"/>
              </w:rPr>
              <w:t>演练地点</w:t>
            </w:r>
          </w:p>
        </w:tc>
        <w:tc>
          <w:tcPr>
            <w:tcW w:w="1355" w:type="dxa"/>
            <w:tcBorders>
              <w:top w:val="single" w:color="000000" w:sz="4" w:space="0"/>
              <w:left w:val="single" w:color="000000" w:sz="4" w:space="0"/>
              <w:bottom w:val="single" w:color="000000" w:sz="4" w:space="0"/>
              <w:right w:val="single" w:color="000000" w:sz="4" w:space="0"/>
            </w:tcBorders>
            <w:vAlign w:val="center"/>
          </w:tcPr>
          <w:p w14:paraId="68EAEFA2">
            <w:pPr>
              <w:rPr>
                <w:rFonts w:hint="eastAsia" w:ascii="宋体" w:hAnsi="宋体" w:eastAsia="宋体" w:cs="宋体"/>
                <w:b w:val="0"/>
                <w:bCs w:val="0"/>
                <w:lang w:eastAsia="zh-CN"/>
              </w:rPr>
            </w:pPr>
            <w:r>
              <w:rPr>
                <w:rFonts w:hint="eastAsia" w:ascii="宋体" w:hAnsi="宋体" w:eastAsia="宋体" w:cs="宋体"/>
                <w:b w:val="0"/>
                <w:bCs w:val="0"/>
                <w:lang w:eastAsia="zh-CN"/>
              </w:rPr>
              <w:t>厂区</w:t>
            </w:r>
          </w:p>
        </w:tc>
      </w:tr>
      <w:tr w14:paraId="30C14EC4">
        <w:tblPrEx>
          <w:tblCellMar>
            <w:top w:w="0" w:type="dxa"/>
            <w:left w:w="108" w:type="dxa"/>
            <w:bottom w:w="0" w:type="dxa"/>
            <w:right w:w="108" w:type="dxa"/>
          </w:tblCellMar>
        </w:tblPrEx>
        <w:trPr>
          <w:trHeight w:val="494" w:hRule="atLeast"/>
        </w:trPr>
        <w:tc>
          <w:tcPr>
            <w:tcW w:w="1893" w:type="dxa"/>
            <w:gridSpan w:val="2"/>
            <w:tcBorders>
              <w:top w:val="single" w:color="000000" w:sz="4" w:space="0"/>
              <w:left w:val="single" w:color="000000" w:sz="4" w:space="0"/>
              <w:bottom w:val="single" w:color="000000" w:sz="4" w:space="0"/>
              <w:right w:val="single" w:color="000000" w:sz="4" w:space="0"/>
            </w:tcBorders>
            <w:vAlign w:val="center"/>
          </w:tcPr>
          <w:p w14:paraId="4865BD1D">
            <w:pPr>
              <w:rPr>
                <w:rFonts w:hint="eastAsia" w:ascii="宋体" w:hAnsi="宋体" w:eastAsia="宋体" w:cs="宋体"/>
                <w:b w:val="0"/>
                <w:bCs w:val="0"/>
              </w:rPr>
            </w:pPr>
            <w:r>
              <w:rPr>
                <w:rFonts w:hint="eastAsia" w:ascii="宋体" w:hAnsi="宋体" w:eastAsia="宋体" w:cs="宋体"/>
                <w:b w:val="0"/>
                <w:bCs w:val="0"/>
              </w:rPr>
              <w:t>组织部门</w:t>
            </w:r>
          </w:p>
        </w:tc>
        <w:tc>
          <w:tcPr>
            <w:tcW w:w="1471" w:type="dxa"/>
            <w:tcBorders>
              <w:top w:val="single" w:color="000000" w:sz="4" w:space="0"/>
              <w:left w:val="single" w:color="000000" w:sz="4" w:space="0"/>
              <w:bottom w:val="single" w:color="000000" w:sz="4" w:space="0"/>
              <w:right w:val="single" w:color="000000" w:sz="4" w:space="0"/>
            </w:tcBorders>
            <w:vAlign w:val="center"/>
          </w:tcPr>
          <w:p w14:paraId="1F72C7EF">
            <w:pPr>
              <w:rPr>
                <w:rFonts w:hint="eastAsia" w:ascii="宋体" w:hAnsi="宋体" w:eastAsia="宋体" w:cs="宋体"/>
                <w:b w:val="0"/>
                <w:bCs w:val="0"/>
                <w:lang w:eastAsia="zh-CN"/>
              </w:rPr>
            </w:pPr>
            <w:r>
              <w:rPr>
                <w:rFonts w:hint="eastAsia" w:ascii="宋体" w:hAnsi="宋体" w:eastAsia="宋体" w:cs="宋体"/>
                <w:b w:val="0"/>
                <w:bCs w:val="0"/>
                <w:lang w:eastAsia="zh-CN"/>
              </w:rPr>
              <w:t>安全科</w:t>
            </w:r>
          </w:p>
        </w:tc>
        <w:tc>
          <w:tcPr>
            <w:tcW w:w="1352" w:type="dxa"/>
            <w:tcBorders>
              <w:top w:val="single" w:color="000000" w:sz="4" w:space="0"/>
              <w:left w:val="single" w:color="000000" w:sz="4" w:space="0"/>
              <w:bottom w:val="single" w:color="000000" w:sz="4" w:space="0"/>
              <w:right w:val="single" w:color="000000" w:sz="4" w:space="0"/>
            </w:tcBorders>
            <w:vAlign w:val="center"/>
          </w:tcPr>
          <w:p w14:paraId="5E64EA26">
            <w:pPr>
              <w:rPr>
                <w:rFonts w:hint="eastAsia" w:ascii="宋体" w:hAnsi="宋体" w:eastAsia="宋体" w:cs="宋体"/>
                <w:b w:val="0"/>
                <w:bCs w:val="0"/>
              </w:rPr>
            </w:pPr>
            <w:r>
              <w:rPr>
                <w:rFonts w:hint="eastAsia" w:ascii="宋体" w:hAnsi="宋体" w:eastAsia="宋体" w:cs="宋体"/>
                <w:b w:val="0"/>
                <w:bCs w:val="0"/>
              </w:rPr>
              <w:t>总指挥</w:t>
            </w:r>
          </w:p>
        </w:tc>
        <w:tc>
          <w:tcPr>
            <w:tcW w:w="1351" w:type="dxa"/>
            <w:tcBorders>
              <w:top w:val="single" w:color="000000" w:sz="4" w:space="0"/>
              <w:left w:val="single" w:color="000000" w:sz="4" w:space="0"/>
              <w:bottom w:val="single" w:color="000000" w:sz="4" w:space="0"/>
              <w:right w:val="single" w:color="000000" w:sz="4" w:space="0"/>
            </w:tcBorders>
            <w:vAlign w:val="center"/>
          </w:tcPr>
          <w:p w14:paraId="6A58DDCD">
            <w:pPr>
              <w:rPr>
                <w:rFonts w:hint="eastAsia" w:ascii="宋体" w:hAnsi="宋体" w:eastAsia="宋体" w:cs="宋体"/>
                <w:b w:val="0"/>
                <w:bCs w:val="0"/>
              </w:rPr>
            </w:pPr>
            <w:r>
              <w:rPr>
                <w:rFonts w:hint="eastAsia" w:ascii="宋体" w:hAnsi="宋体" w:eastAsia="宋体" w:cs="宋体"/>
                <w:b w:val="0"/>
                <w:bCs w:val="0"/>
              </w:rPr>
              <w:t xml:space="preserve"> 赵传立</w:t>
            </w:r>
          </w:p>
        </w:tc>
        <w:tc>
          <w:tcPr>
            <w:tcW w:w="1351" w:type="dxa"/>
            <w:tcBorders>
              <w:top w:val="single" w:color="000000" w:sz="4" w:space="0"/>
              <w:left w:val="single" w:color="000000" w:sz="4" w:space="0"/>
              <w:bottom w:val="single" w:color="000000" w:sz="4" w:space="0"/>
              <w:right w:val="single" w:color="000000" w:sz="4" w:space="0"/>
            </w:tcBorders>
            <w:vAlign w:val="center"/>
          </w:tcPr>
          <w:p w14:paraId="158B2E48">
            <w:pPr>
              <w:rPr>
                <w:rFonts w:hint="eastAsia" w:ascii="宋体" w:hAnsi="宋体" w:eastAsia="宋体" w:cs="宋体"/>
                <w:b w:val="0"/>
                <w:bCs w:val="0"/>
              </w:rPr>
            </w:pPr>
            <w:r>
              <w:rPr>
                <w:rFonts w:hint="eastAsia" w:ascii="宋体" w:hAnsi="宋体" w:eastAsia="宋体" w:cs="宋体"/>
                <w:b w:val="0"/>
                <w:bCs w:val="0"/>
              </w:rPr>
              <w:t>演练时间</w:t>
            </w:r>
          </w:p>
        </w:tc>
        <w:tc>
          <w:tcPr>
            <w:tcW w:w="1355" w:type="dxa"/>
            <w:tcBorders>
              <w:top w:val="single" w:color="000000" w:sz="4" w:space="0"/>
              <w:left w:val="single" w:color="000000" w:sz="4" w:space="0"/>
              <w:bottom w:val="single" w:color="000000" w:sz="4" w:space="0"/>
              <w:right w:val="single" w:color="000000" w:sz="4" w:space="0"/>
            </w:tcBorders>
            <w:vAlign w:val="center"/>
          </w:tcPr>
          <w:p w14:paraId="79A891B0">
            <w:pPr>
              <w:rPr>
                <w:rFonts w:hint="eastAsia" w:ascii="宋体" w:hAnsi="宋体" w:eastAsia="宋体" w:cs="宋体"/>
                <w:b w:val="0"/>
                <w:bCs w:val="0"/>
                <w:lang w:eastAsia="zh-CN"/>
              </w:rPr>
            </w:pPr>
            <w:r>
              <w:rPr>
                <w:rFonts w:hint="eastAsia" w:ascii="宋体" w:hAnsi="宋体" w:eastAsia="宋体" w:cs="宋体"/>
                <w:b w:val="0"/>
                <w:bCs w:val="0"/>
              </w:rPr>
              <w:t>202</w:t>
            </w:r>
            <w:r>
              <w:rPr>
                <w:rFonts w:hint="eastAsia" w:ascii="宋体" w:hAnsi="宋体" w:eastAsia="宋体" w:cs="宋体"/>
                <w:b w:val="0"/>
                <w:bCs w:val="0"/>
                <w:lang w:val="en-US" w:eastAsia="zh-CN"/>
              </w:rPr>
              <w:t>5</w:t>
            </w:r>
            <w:r>
              <w:rPr>
                <w:rFonts w:hint="eastAsia" w:ascii="宋体" w:hAnsi="宋体" w:eastAsia="宋体" w:cs="宋体"/>
                <w:b w:val="0"/>
                <w:bCs w:val="0"/>
                <w:lang w:eastAsia="zh-CN"/>
              </w:rPr>
              <w:t>年</w:t>
            </w:r>
            <w:r>
              <w:rPr>
                <w:rFonts w:hint="eastAsia" w:ascii="宋体" w:hAnsi="宋体" w:eastAsia="宋体" w:cs="宋体"/>
                <w:b w:val="0"/>
                <w:bCs w:val="0"/>
                <w:lang w:val="en-US" w:eastAsia="zh-CN"/>
              </w:rPr>
              <w:t>5月29日</w:t>
            </w:r>
          </w:p>
        </w:tc>
      </w:tr>
      <w:tr w14:paraId="534EF2AB">
        <w:tblPrEx>
          <w:tblCellMar>
            <w:top w:w="0" w:type="dxa"/>
            <w:left w:w="108" w:type="dxa"/>
            <w:bottom w:w="0" w:type="dxa"/>
            <w:right w:w="108" w:type="dxa"/>
          </w:tblCellMar>
        </w:tblPrEx>
        <w:trPr>
          <w:trHeight w:val="494" w:hRule="atLeast"/>
        </w:trPr>
        <w:tc>
          <w:tcPr>
            <w:tcW w:w="1893" w:type="dxa"/>
            <w:gridSpan w:val="2"/>
            <w:tcBorders>
              <w:top w:val="single" w:color="000000" w:sz="4" w:space="0"/>
              <w:left w:val="single" w:color="000000" w:sz="4" w:space="0"/>
              <w:bottom w:val="single" w:color="000000" w:sz="4" w:space="0"/>
              <w:right w:val="single" w:color="000000" w:sz="4" w:space="0"/>
            </w:tcBorders>
            <w:vAlign w:val="center"/>
          </w:tcPr>
          <w:p w14:paraId="425E1804">
            <w:pPr>
              <w:rPr>
                <w:rFonts w:hint="eastAsia" w:ascii="宋体" w:hAnsi="宋体" w:eastAsia="宋体" w:cs="宋体"/>
                <w:b w:val="0"/>
                <w:bCs w:val="0"/>
              </w:rPr>
            </w:pPr>
            <w:r>
              <w:rPr>
                <w:rFonts w:hint="eastAsia" w:ascii="宋体" w:hAnsi="宋体" w:eastAsia="宋体" w:cs="宋体"/>
                <w:b w:val="0"/>
                <w:bCs w:val="0"/>
              </w:rPr>
              <w:t>参加部门和单位</w:t>
            </w:r>
          </w:p>
        </w:tc>
        <w:tc>
          <w:tcPr>
            <w:tcW w:w="6880" w:type="dxa"/>
            <w:gridSpan w:val="5"/>
            <w:tcBorders>
              <w:top w:val="single" w:color="000000" w:sz="4" w:space="0"/>
              <w:left w:val="single" w:color="000000" w:sz="4" w:space="0"/>
              <w:bottom w:val="single" w:color="000000" w:sz="4" w:space="0"/>
              <w:right w:val="single" w:color="000000" w:sz="4" w:space="0"/>
            </w:tcBorders>
            <w:noWrap/>
            <w:vAlign w:val="bottom"/>
          </w:tcPr>
          <w:p w14:paraId="6AA74393">
            <w:pPr>
              <w:rPr>
                <w:rFonts w:hint="eastAsia" w:ascii="宋体" w:hAnsi="宋体" w:eastAsia="宋体" w:cs="宋体"/>
                <w:b w:val="0"/>
                <w:bCs w:val="0"/>
              </w:rPr>
            </w:pPr>
            <w:r>
              <w:rPr>
                <w:rFonts w:hint="eastAsia" w:ascii="宋体" w:hAnsi="宋体" w:eastAsia="宋体" w:cs="宋体"/>
                <w:b w:val="0"/>
                <w:bCs w:val="0"/>
              </w:rPr>
              <w:t>全体员工</w:t>
            </w:r>
          </w:p>
        </w:tc>
      </w:tr>
      <w:tr w14:paraId="45E42C3D">
        <w:tblPrEx>
          <w:tblCellMar>
            <w:top w:w="0" w:type="dxa"/>
            <w:left w:w="108" w:type="dxa"/>
            <w:bottom w:w="0" w:type="dxa"/>
            <w:right w:w="108" w:type="dxa"/>
          </w:tblCellMar>
        </w:tblPrEx>
        <w:trPr>
          <w:trHeight w:val="494" w:hRule="atLeast"/>
        </w:trPr>
        <w:tc>
          <w:tcPr>
            <w:tcW w:w="1893" w:type="dxa"/>
            <w:gridSpan w:val="2"/>
            <w:vMerge w:val="restart"/>
            <w:tcBorders>
              <w:top w:val="single" w:color="000000" w:sz="4" w:space="0"/>
              <w:left w:val="single" w:color="000000" w:sz="4" w:space="0"/>
              <w:bottom w:val="single" w:color="000000" w:sz="4" w:space="0"/>
              <w:right w:val="single" w:color="000000" w:sz="4" w:space="0"/>
            </w:tcBorders>
            <w:vAlign w:val="center"/>
          </w:tcPr>
          <w:p w14:paraId="5A9D0325">
            <w:pPr>
              <w:rPr>
                <w:rFonts w:hint="eastAsia" w:ascii="宋体" w:hAnsi="宋体" w:eastAsia="宋体" w:cs="宋体"/>
              </w:rPr>
            </w:pPr>
            <w:r>
              <w:rPr>
                <w:rFonts w:hint="eastAsia" w:ascii="宋体" w:hAnsi="宋体" w:eastAsia="宋体" w:cs="宋体"/>
              </w:rPr>
              <w:t>演练类别</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70E37B92">
            <w:pPr>
              <w:ind w:firstLine="105" w:firstLineChars="50"/>
              <w:rPr>
                <w:rFonts w:hint="eastAsia" w:ascii="宋体" w:hAnsi="宋体" w:eastAsia="宋体" w:cs="宋体"/>
              </w:rPr>
            </w:pPr>
            <w:r>
              <w:rPr>
                <w:rFonts w:hint="eastAsia" w:ascii="宋体" w:hAnsi="宋体" w:eastAsia="宋体" w:cs="宋体"/>
              </w:rPr>
              <w:t>☑实际演练  □桌面演练</w:t>
            </w:r>
          </w:p>
        </w:tc>
      </w:tr>
      <w:tr w14:paraId="41CF2655">
        <w:tblPrEx>
          <w:tblCellMar>
            <w:top w:w="0" w:type="dxa"/>
            <w:left w:w="108" w:type="dxa"/>
            <w:bottom w:w="0" w:type="dxa"/>
            <w:right w:w="108" w:type="dxa"/>
          </w:tblCellMar>
        </w:tblPrEx>
        <w:trPr>
          <w:trHeight w:val="494" w:hRule="atLeast"/>
        </w:trPr>
        <w:tc>
          <w:tcPr>
            <w:tcW w:w="1893"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44E29579">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7F01DB6E">
            <w:pPr>
              <w:ind w:firstLine="105" w:firstLineChars="50"/>
              <w:rPr>
                <w:rFonts w:hint="eastAsia" w:ascii="宋体" w:hAnsi="宋体" w:eastAsia="宋体" w:cs="宋体"/>
              </w:rPr>
            </w:pPr>
            <w:r>
              <w:rPr>
                <w:rFonts w:hint="eastAsia" w:ascii="宋体" w:hAnsi="宋体" w:eastAsia="宋体" w:cs="宋体"/>
              </w:rPr>
              <w:t>□提问讨论式演练</w:t>
            </w:r>
          </w:p>
        </w:tc>
      </w:tr>
      <w:tr w14:paraId="5605F8E2">
        <w:tblPrEx>
          <w:tblCellMar>
            <w:top w:w="0" w:type="dxa"/>
            <w:left w:w="108" w:type="dxa"/>
            <w:bottom w:w="0" w:type="dxa"/>
            <w:right w:w="108" w:type="dxa"/>
          </w:tblCellMar>
        </w:tblPrEx>
        <w:trPr>
          <w:trHeight w:val="494" w:hRule="atLeast"/>
        </w:trPr>
        <w:tc>
          <w:tcPr>
            <w:tcW w:w="1893"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53838F95">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45B159F3">
            <w:pPr>
              <w:rPr>
                <w:rFonts w:hint="eastAsia" w:ascii="宋体" w:hAnsi="宋体" w:eastAsia="宋体" w:cs="宋体"/>
              </w:rPr>
            </w:pPr>
            <w:r>
              <w:rPr>
                <w:rFonts w:hint="eastAsia" w:ascii="宋体" w:hAnsi="宋体" w:eastAsia="宋体" w:cs="宋体"/>
              </w:rPr>
              <w:t>□全部预案  ☑部分预案</w:t>
            </w:r>
          </w:p>
        </w:tc>
      </w:tr>
      <w:tr w14:paraId="40D7E860">
        <w:tblPrEx>
          <w:tblCellMar>
            <w:top w:w="0" w:type="dxa"/>
            <w:left w:w="108" w:type="dxa"/>
            <w:bottom w:w="0" w:type="dxa"/>
            <w:right w:w="108" w:type="dxa"/>
          </w:tblCellMar>
        </w:tblPrEx>
        <w:trPr>
          <w:trHeight w:val="809" w:hRule="atLeast"/>
        </w:trPr>
        <w:tc>
          <w:tcPr>
            <w:tcW w:w="1893" w:type="dxa"/>
            <w:gridSpan w:val="2"/>
            <w:tcBorders>
              <w:top w:val="single" w:color="000000" w:sz="4" w:space="0"/>
              <w:left w:val="single" w:color="000000" w:sz="4" w:space="0"/>
              <w:bottom w:val="single" w:color="000000" w:sz="4" w:space="0"/>
              <w:right w:val="single" w:color="000000" w:sz="4" w:space="0"/>
            </w:tcBorders>
            <w:vAlign w:val="center"/>
          </w:tcPr>
          <w:p w14:paraId="26071EF8">
            <w:pPr>
              <w:rPr>
                <w:rFonts w:hint="eastAsia" w:ascii="宋体" w:hAnsi="宋体" w:eastAsia="宋体" w:cs="宋体"/>
              </w:rPr>
            </w:pPr>
            <w:r>
              <w:rPr>
                <w:rFonts w:hint="eastAsia" w:ascii="宋体" w:hAnsi="宋体" w:eastAsia="宋体" w:cs="宋体"/>
              </w:rPr>
              <w:t>物资准备及　　　　　　　　　人员培训情况</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0F065691">
            <w:pPr>
              <w:rPr>
                <w:rFonts w:hint="eastAsia" w:ascii="宋体" w:hAnsi="宋体" w:eastAsia="宋体" w:cs="宋体"/>
              </w:rPr>
            </w:pPr>
            <w:r>
              <w:rPr>
                <w:rFonts w:hint="eastAsia" w:ascii="宋体" w:hAnsi="宋体" w:eastAsia="宋体" w:cs="宋体"/>
              </w:rPr>
              <w:t>开展了相关人员的培训，现场配备</w:t>
            </w:r>
            <w:r>
              <w:rPr>
                <w:rFonts w:hint="eastAsia" w:ascii="宋体" w:hAnsi="宋体" w:eastAsia="宋体" w:cs="宋体"/>
                <w:lang w:eastAsia="zh-CN"/>
              </w:rPr>
              <w:t>应急处置相关</w:t>
            </w:r>
            <w:r>
              <w:rPr>
                <w:rFonts w:hint="eastAsia" w:ascii="宋体" w:hAnsi="宋体" w:eastAsia="宋体" w:cs="宋体"/>
              </w:rPr>
              <w:t>应急物资。</w:t>
            </w:r>
          </w:p>
        </w:tc>
      </w:tr>
      <w:tr w14:paraId="50DC2E3F">
        <w:tblPrEx>
          <w:tblCellMar>
            <w:top w:w="0" w:type="dxa"/>
            <w:left w:w="108" w:type="dxa"/>
            <w:bottom w:w="0" w:type="dxa"/>
            <w:right w:w="108" w:type="dxa"/>
          </w:tblCellMar>
        </w:tblPrEx>
        <w:trPr>
          <w:trHeight w:val="479" w:hRule="atLeast"/>
        </w:trPr>
        <w:tc>
          <w:tcPr>
            <w:tcW w:w="1893" w:type="dxa"/>
            <w:gridSpan w:val="2"/>
            <w:vMerge w:val="restart"/>
            <w:tcBorders>
              <w:top w:val="single" w:color="000000" w:sz="4" w:space="0"/>
              <w:left w:val="single" w:color="000000" w:sz="4" w:space="0"/>
              <w:bottom w:val="single" w:color="000000" w:sz="4" w:space="0"/>
              <w:right w:val="single" w:color="000000" w:sz="4" w:space="0"/>
            </w:tcBorders>
            <w:vAlign w:val="center"/>
          </w:tcPr>
          <w:p w14:paraId="3E365898">
            <w:pPr>
              <w:rPr>
                <w:rFonts w:hint="eastAsia" w:ascii="宋体" w:hAnsi="宋体" w:eastAsia="宋体" w:cs="宋体"/>
              </w:rPr>
            </w:pPr>
            <w:r>
              <w:rPr>
                <w:rFonts w:hint="eastAsia" w:ascii="宋体" w:hAnsi="宋体" w:eastAsia="宋体" w:cs="宋体"/>
              </w:rPr>
              <w:t>预案适宜性充分性评审</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1AE924D4">
            <w:pPr>
              <w:rPr>
                <w:rFonts w:hint="eastAsia" w:ascii="宋体" w:hAnsi="宋体" w:eastAsia="宋体" w:cs="宋体"/>
              </w:rPr>
            </w:pPr>
            <w:r>
              <w:rPr>
                <w:rFonts w:hint="eastAsia" w:ascii="宋体" w:hAnsi="宋体" w:eastAsia="宋体" w:cs="宋体"/>
              </w:rPr>
              <w:t>适宜性：☑ 全部能够执行  □执行过程不够顺利  □明显不适宜</w:t>
            </w:r>
          </w:p>
        </w:tc>
      </w:tr>
      <w:tr w14:paraId="624C5D50">
        <w:tblPrEx>
          <w:tblCellMar>
            <w:top w:w="0" w:type="dxa"/>
            <w:left w:w="108" w:type="dxa"/>
            <w:bottom w:w="0" w:type="dxa"/>
            <w:right w:w="108" w:type="dxa"/>
          </w:tblCellMar>
        </w:tblPrEx>
        <w:trPr>
          <w:trHeight w:val="479" w:hRule="atLeast"/>
        </w:trPr>
        <w:tc>
          <w:tcPr>
            <w:tcW w:w="1893"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0476E59A">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4D652420">
            <w:pPr>
              <w:rPr>
                <w:rFonts w:hint="eastAsia" w:ascii="宋体" w:hAnsi="宋体" w:eastAsia="宋体" w:cs="宋体"/>
              </w:rPr>
            </w:pPr>
            <w:r>
              <w:rPr>
                <w:rFonts w:hint="eastAsia" w:ascii="宋体" w:hAnsi="宋体" w:eastAsia="宋体" w:cs="宋体"/>
              </w:rPr>
              <w:t>充分性：□完全满足应急要求 ☑ 基本满足需要完善  □不充分，必须修改</w:t>
            </w:r>
          </w:p>
        </w:tc>
      </w:tr>
      <w:tr w14:paraId="5BE28E70">
        <w:tblPrEx>
          <w:tblCellMar>
            <w:top w:w="0" w:type="dxa"/>
            <w:left w:w="108" w:type="dxa"/>
            <w:bottom w:w="0" w:type="dxa"/>
            <w:right w:w="108" w:type="dxa"/>
          </w:tblCellMar>
        </w:tblPrEx>
        <w:trPr>
          <w:trHeight w:val="719" w:hRule="atLeast"/>
        </w:trPr>
        <w:tc>
          <w:tcPr>
            <w:tcW w:w="967" w:type="dxa"/>
            <w:vMerge w:val="restart"/>
            <w:tcBorders>
              <w:top w:val="single" w:color="000000" w:sz="4" w:space="0"/>
              <w:left w:val="single" w:color="000000" w:sz="4" w:space="0"/>
              <w:bottom w:val="single" w:color="000000" w:sz="4" w:space="0"/>
              <w:right w:val="single" w:color="000000" w:sz="4" w:space="0"/>
            </w:tcBorders>
            <w:vAlign w:val="center"/>
          </w:tcPr>
          <w:p w14:paraId="4DF914A4">
            <w:pPr>
              <w:rPr>
                <w:rFonts w:hint="eastAsia" w:ascii="宋体" w:hAnsi="宋体" w:eastAsia="宋体" w:cs="宋体"/>
              </w:rPr>
            </w:pPr>
            <w:r>
              <w:rPr>
                <w:rFonts w:hint="eastAsia" w:ascii="宋体" w:hAnsi="宋体" w:eastAsia="宋体" w:cs="宋体"/>
              </w:rPr>
              <w:t>演练效果评审</w:t>
            </w:r>
          </w:p>
        </w:tc>
        <w:tc>
          <w:tcPr>
            <w:tcW w:w="926" w:type="dxa"/>
            <w:tcBorders>
              <w:top w:val="single" w:color="000000" w:sz="4" w:space="0"/>
              <w:left w:val="single" w:color="000000" w:sz="4" w:space="0"/>
              <w:bottom w:val="single" w:color="000000" w:sz="4" w:space="0"/>
              <w:right w:val="single" w:color="000000" w:sz="4" w:space="0"/>
            </w:tcBorders>
            <w:vAlign w:val="center"/>
          </w:tcPr>
          <w:p w14:paraId="6BFE11BE">
            <w:pPr>
              <w:rPr>
                <w:rFonts w:hint="eastAsia" w:ascii="宋体" w:hAnsi="宋体" w:eastAsia="宋体" w:cs="宋体"/>
              </w:rPr>
            </w:pPr>
            <w:r>
              <w:rPr>
                <w:rFonts w:hint="eastAsia" w:ascii="宋体" w:hAnsi="宋体" w:eastAsia="宋体" w:cs="宋体"/>
              </w:rPr>
              <w:t>人员到位情况</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6402F661">
            <w:pPr>
              <w:rPr>
                <w:rFonts w:hint="eastAsia" w:ascii="宋体" w:hAnsi="宋体" w:eastAsia="宋体" w:cs="宋体"/>
              </w:rPr>
            </w:pPr>
            <w:r>
              <w:rPr>
                <w:rFonts w:hint="eastAsia" w:ascii="宋体" w:hAnsi="宋体" w:eastAsia="宋体" w:cs="宋体"/>
              </w:rPr>
              <w:t>□迅速准确  ☑基本按时到位  □个别人员不到位  □重点部位人员不到位  □职责明确，操作熟练  □职责明确，操作不够熟练  □职责不明，操作不熟练</w:t>
            </w:r>
          </w:p>
        </w:tc>
      </w:tr>
      <w:tr w14:paraId="7B926540">
        <w:tblPrEx>
          <w:tblCellMar>
            <w:top w:w="0" w:type="dxa"/>
            <w:left w:w="108" w:type="dxa"/>
            <w:bottom w:w="0" w:type="dxa"/>
            <w:right w:w="108" w:type="dxa"/>
          </w:tblCellMar>
        </w:tblPrEx>
        <w:trPr>
          <w:trHeight w:val="449"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63B605C3">
            <w:pPr>
              <w:rPr>
                <w:rFonts w:hint="eastAsia" w:ascii="宋体" w:hAnsi="宋体" w:eastAsia="宋体" w:cs="宋体"/>
              </w:rPr>
            </w:pPr>
          </w:p>
        </w:tc>
        <w:tc>
          <w:tcPr>
            <w:tcW w:w="926" w:type="dxa"/>
            <w:vMerge w:val="restart"/>
            <w:tcBorders>
              <w:top w:val="single" w:color="000000" w:sz="4" w:space="0"/>
              <w:left w:val="single" w:color="000000" w:sz="4" w:space="0"/>
              <w:bottom w:val="single" w:color="000000" w:sz="4" w:space="0"/>
              <w:right w:val="single" w:color="000000" w:sz="4" w:space="0"/>
            </w:tcBorders>
            <w:vAlign w:val="center"/>
          </w:tcPr>
          <w:p w14:paraId="4415F297">
            <w:pPr>
              <w:rPr>
                <w:rFonts w:hint="eastAsia" w:ascii="宋体" w:hAnsi="宋体" w:eastAsia="宋体" w:cs="宋体"/>
              </w:rPr>
            </w:pPr>
            <w:r>
              <w:rPr>
                <w:rFonts w:hint="eastAsia" w:ascii="宋体" w:hAnsi="宋体" w:eastAsia="宋体" w:cs="宋体"/>
              </w:rPr>
              <w:t>物资到位情况</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6DB3167B">
            <w:pPr>
              <w:rPr>
                <w:rFonts w:hint="eastAsia" w:ascii="宋体" w:hAnsi="宋体" w:eastAsia="宋体" w:cs="宋体"/>
              </w:rPr>
            </w:pPr>
            <w:r>
              <w:rPr>
                <w:rFonts w:hint="eastAsia" w:ascii="宋体" w:hAnsi="宋体" w:eastAsia="宋体" w:cs="宋体"/>
              </w:rPr>
              <w:t>现场物资： ☑现场物资充分，全部有效  □现场准备不充分  □现场物资严重缺乏</w:t>
            </w:r>
          </w:p>
        </w:tc>
      </w:tr>
      <w:tr w14:paraId="7A35F4CB">
        <w:tblPrEx>
          <w:tblCellMar>
            <w:top w:w="0" w:type="dxa"/>
            <w:left w:w="108" w:type="dxa"/>
            <w:bottom w:w="0" w:type="dxa"/>
            <w:right w:w="108" w:type="dxa"/>
          </w:tblCellMar>
        </w:tblPrEx>
        <w:trPr>
          <w:trHeight w:val="614"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7A6C2C24">
            <w:pPr>
              <w:rPr>
                <w:rFonts w:hint="eastAsia" w:ascii="宋体" w:hAnsi="宋体" w:eastAsia="宋体" w:cs="宋体"/>
              </w:rPr>
            </w:pPr>
          </w:p>
        </w:tc>
        <w:tc>
          <w:tcPr>
            <w:tcW w:w="926" w:type="dxa"/>
            <w:vMerge w:val="continue"/>
            <w:tcBorders>
              <w:top w:val="single" w:color="000000" w:sz="4" w:space="0"/>
              <w:left w:val="single" w:color="000000" w:sz="4" w:space="0"/>
              <w:bottom w:val="single" w:color="000000" w:sz="4" w:space="0"/>
              <w:right w:val="single" w:color="000000" w:sz="4" w:space="0"/>
            </w:tcBorders>
            <w:vAlign w:val="center"/>
          </w:tcPr>
          <w:p w14:paraId="3322355A">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7AFCEF8E">
            <w:pPr>
              <w:rPr>
                <w:rFonts w:hint="eastAsia" w:ascii="宋体" w:hAnsi="宋体" w:eastAsia="宋体" w:cs="宋体"/>
              </w:rPr>
            </w:pPr>
            <w:r>
              <w:rPr>
                <w:rFonts w:hint="eastAsia" w:ascii="宋体" w:hAnsi="宋体" w:eastAsia="宋体" w:cs="宋体"/>
              </w:rPr>
              <w:t>个人防护：☑全部人员防护到位   □个别人员防护不到位  □大部分人员防护不到位</w:t>
            </w:r>
          </w:p>
        </w:tc>
      </w:tr>
      <w:tr w14:paraId="2A1B5162">
        <w:tblPrEx>
          <w:tblCellMar>
            <w:top w:w="0" w:type="dxa"/>
            <w:left w:w="108" w:type="dxa"/>
            <w:bottom w:w="0" w:type="dxa"/>
            <w:right w:w="108" w:type="dxa"/>
          </w:tblCellMar>
        </w:tblPrEx>
        <w:trPr>
          <w:trHeight w:val="479"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3FF33133">
            <w:pPr>
              <w:rPr>
                <w:rFonts w:hint="eastAsia" w:ascii="宋体" w:hAnsi="宋体" w:eastAsia="宋体" w:cs="宋体"/>
              </w:rPr>
            </w:pPr>
          </w:p>
        </w:tc>
        <w:tc>
          <w:tcPr>
            <w:tcW w:w="926" w:type="dxa"/>
            <w:vMerge w:val="restart"/>
            <w:tcBorders>
              <w:top w:val="single" w:color="000000" w:sz="4" w:space="0"/>
              <w:left w:val="single" w:color="000000" w:sz="4" w:space="0"/>
              <w:bottom w:val="single" w:color="000000" w:sz="4" w:space="0"/>
              <w:right w:val="single" w:color="000000" w:sz="4" w:space="0"/>
            </w:tcBorders>
            <w:vAlign w:val="center"/>
          </w:tcPr>
          <w:p w14:paraId="040FDF73">
            <w:pPr>
              <w:rPr>
                <w:rFonts w:hint="eastAsia" w:ascii="宋体" w:hAnsi="宋体" w:eastAsia="宋体" w:cs="宋体"/>
              </w:rPr>
            </w:pPr>
            <w:r>
              <w:rPr>
                <w:rFonts w:hint="eastAsia" w:ascii="宋体" w:hAnsi="宋体" w:eastAsia="宋体" w:cs="宋体"/>
              </w:rPr>
              <w:t>协调组织情况</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1DE15FC8">
            <w:pPr>
              <w:rPr>
                <w:rFonts w:hint="eastAsia" w:ascii="宋体" w:hAnsi="宋体" w:eastAsia="宋体" w:cs="宋体"/>
              </w:rPr>
            </w:pPr>
            <w:r>
              <w:rPr>
                <w:rFonts w:hint="eastAsia" w:ascii="宋体" w:hAnsi="宋体" w:eastAsia="宋体" w:cs="宋体"/>
              </w:rPr>
              <w:t>整体组织：□准确、高效   ☑协调基本顺利，能满足要求  □效率低，有待改进</w:t>
            </w:r>
          </w:p>
        </w:tc>
      </w:tr>
      <w:tr w14:paraId="700914C3">
        <w:tblPrEx>
          <w:tblCellMar>
            <w:top w:w="0" w:type="dxa"/>
            <w:left w:w="108" w:type="dxa"/>
            <w:bottom w:w="0" w:type="dxa"/>
            <w:right w:w="108" w:type="dxa"/>
          </w:tblCellMar>
        </w:tblPrEx>
        <w:trPr>
          <w:trHeight w:val="479"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6A147B48">
            <w:pPr>
              <w:rPr>
                <w:rFonts w:hint="eastAsia" w:ascii="宋体" w:hAnsi="宋体" w:eastAsia="宋体" w:cs="宋体"/>
              </w:rPr>
            </w:pPr>
          </w:p>
        </w:tc>
        <w:tc>
          <w:tcPr>
            <w:tcW w:w="926" w:type="dxa"/>
            <w:vMerge w:val="continue"/>
            <w:tcBorders>
              <w:top w:val="single" w:color="000000" w:sz="4" w:space="0"/>
              <w:left w:val="single" w:color="000000" w:sz="4" w:space="0"/>
              <w:bottom w:val="single" w:color="000000" w:sz="4" w:space="0"/>
              <w:right w:val="single" w:color="000000" w:sz="4" w:space="0"/>
            </w:tcBorders>
            <w:vAlign w:val="center"/>
          </w:tcPr>
          <w:p w14:paraId="7F88E315">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349C639E">
            <w:pPr>
              <w:rPr>
                <w:rFonts w:hint="eastAsia" w:ascii="宋体" w:hAnsi="宋体" w:eastAsia="宋体" w:cs="宋体"/>
              </w:rPr>
            </w:pPr>
            <w:r>
              <w:rPr>
                <w:rFonts w:hint="eastAsia" w:ascii="宋体" w:hAnsi="宋体" w:eastAsia="宋体" w:cs="宋体"/>
              </w:rPr>
              <w:t>抢险组分工：□合理、高效 ☑ 基本合理，能完成任务  □效率低，没有完成任务</w:t>
            </w:r>
          </w:p>
        </w:tc>
      </w:tr>
      <w:tr w14:paraId="1025ABEF">
        <w:tblPrEx>
          <w:tblCellMar>
            <w:top w:w="0" w:type="dxa"/>
            <w:left w:w="108" w:type="dxa"/>
            <w:bottom w:w="0" w:type="dxa"/>
            <w:right w:w="108" w:type="dxa"/>
          </w:tblCellMar>
        </w:tblPrEx>
        <w:trPr>
          <w:trHeight w:val="704"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785E6ED9">
            <w:pPr>
              <w:rPr>
                <w:rFonts w:hint="eastAsia" w:ascii="宋体" w:hAnsi="宋体" w:eastAsia="宋体" w:cs="宋体"/>
              </w:rPr>
            </w:pPr>
          </w:p>
        </w:tc>
        <w:tc>
          <w:tcPr>
            <w:tcW w:w="926" w:type="dxa"/>
            <w:tcBorders>
              <w:top w:val="single" w:color="000000" w:sz="4" w:space="0"/>
              <w:left w:val="single" w:color="000000" w:sz="4" w:space="0"/>
              <w:bottom w:val="single" w:color="000000" w:sz="4" w:space="0"/>
              <w:right w:val="single" w:color="000000" w:sz="4" w:space="0"/>
            </w:tcBorders>
            <w:vAlign w:val="center"/>
          </w:tcPr>
          <w:p w14:paraId="2DF59761">
            <w:pPr>
              <w:rPr>
                <w:rFonts w:hint="eastAsia" w:ascii="宋体" w:hAnsi="宋体" w:eastAsia="宋体" w:cs="宋体"/>
              </w:rPr>
            </w:pPr>
            <w:r>
              <w:rPr>
                <w:rFonts w:hint="eastAsia" w:ascii="宋体" w:hAnsi="宋体" w:eastAsia="宋体" w:cs="宋体"/>
              </w:rPr>
              <w:t>实战效果评价</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3EE85E8F">
            <w:pPr>
              <w:rPr>
                <w:rFonts w:hint="eastAsia" w:ascii="宋体" w:hAnsi="宋体" w:eastAsia="宋体" w:cs="宋体"/>
              </w:rPr>
            </w:pPr>
            <w:r>
              <w:rPr>
                <w:rFonts w:hint="eastAsia" w:ascii="宋体" w:hAnsi="宋体" w:eastAsia="宋体" w:cs="宋体"/>
              </w:rPr>
              <w:t>□达到预期目标   ☑基本达到目的，部分环节有待改进  □没有达到目标，须重新演练</w:t>
            </w:r>
          </w:p>
        </w:tc>
      </w:tr>
      <w:tr w14:paraId="203105E5">
        <w:tblPrEx>
          <w:tblCellMar>
            <w:top w:w="0" w:type="dxa"/>
            <w:left w:w="108" w:type="dxa"/>
            <w:bottom w:w="0" w:type="dxa"/>
            <w:right w:w="108" w:type="dxa"/>
          </w:tblCellMar>
        </w:tblPrEx>
        <w:trPr>
          <w:trHeight w:val="479"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761ECE2C">
            <w:pPr>
              <w:rPr>
                <w:rFonts w:hint="eastAsia" w:ascii="宋体" w:hAnsi="宋体" w:eastAsia="宋体" w:cs="宋体"/>
              </w:rPr>
            </w:pPr>
          </w:p>
        </w:tc>
        <w:tc>
          <w:tcPr>
            <w:tcW w:w="926" w:type="dxa"/>
            <w:vMerge w:val="restart"/>
            <w:tcBorders>
              <w:top w:val="single" w:color="000000" w:sz="4" w:space="0"/>
              <w:left w:val="single" w:color="000000" w:sz="4" w:space="0"/>
              <w:bottom w:val="single" w:color="000000" w:sz="4" w:space="0"/>
              <w:right w:val="single" w:color="000000" w:sz="4" w:space="0"/>
            </w:tcBorders>
            <w:vAlign w:val="center"/>
          </w:tcPr>
          <w:p w14:paraId="4F116F09">
            <w:pPr>
              <w:rPr>
                <w:rFonts w:hint="eastAsia" w:ascii="宋体" w:hAnsi="宋体" w:eastAsia="宋体" w:cs="宋体"/>
              </w:rPr>
            </w:pPr>
            <w:r>
              <w:rPr>
                <w:rFonts w:hint="eastAsia" w:ascii="宋体" w:hAnsi="宋体" w:eastAsia="宋体" w:cs="宋体"/>
              </w:rPr>
              <w:t>外部支援部门和协作有效性</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3A56DC44">
            <w:pPr>
              <w:rPr>
                <w:rFonts w:hint="eastAsia" w:ascii="宋体" w:hAnsi="宋体" w:eastAsia="宋体" w:cs="宋体"/>
              </w:rPr>
            </w:pPr>
            <w:r>
              <w:rPr>
                <w:rFonts w:hint="eastAsia" w:ascii="宋体" w:hAnsi="宋体" w:eastAsia="宋体" w:cs="宋体"/>
              </w:rPr>
              <w:t>报告上级：     □报告及时        □联系不上       ☑不涉及</w:t>
            </w:r>
          </w:p>
        </w:tc>
      </w:tr>
      <w:tr w14:paraId="64A1DB68">
        <w:tblPrEx>
          <w:tblCellMar>
            <w:top w:w="0" w:type="dxa"/>
            <w:left w:w="108" w:type="dxa"/>
            <w:bottom w:w="0" w:type="dxa"/>
            <w:right w:w="108" w:type="dxa"/>
          </w:tblCellMar>
        </w:tblPrEx>
        <w:trPr>
          <w:trHeight w:val="479"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37DE568F">
            <w:pPr>
              <w:rPr>
                <w:rFonts w:hint="eastAsia" w:ascii="宋体" w:hAnsi="宋体" w:eastAsia="宋体" w:cs="宋体"/>
              </w:rPr>
            </w:pPr>
          </w:p>
        </w:tc>
        <w:tc>
          <w:tcPr>
            <w:tcW w:w="926" w:type="dxa"/>
            <w:vMerge w:val="continue"/>
            <w:tcBorders>
              <w:top w:val="single" w:color="000000" w:sz="4" w:space="0"/>
              <w:left w:val="single" w:color="000000" w:sz="4" w:space="0"/>
              <w:bottom w:val="single" w:color="000000" w:sz="4" w:space="0"/>
              <w:right w:val="single" w:color="000000" w:sz="4" w:space="0"/>
            </w:tcBorders>
            <w:vAlign w:val="center"/>
          </w:tcPr>
          <w:p w14:paraId="535996A1">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0EFFE310">
            <w:pPr>
              <w:rPr>
                <w:rFonts w:hint="eastAsia" w:ascii="宋体" w:hAnsi="宋体" w:eastAsia="宋体" w:cs="宋体"/>
              </w:rPr>
            </w:pPr>
            <w:r>
              <w:rPr>
                <w:rFonts w:hint="eastAsia" w:ascii="宋体" w:hAnsi="宋体" w:eastAsia="宋体" w:cs="宋体"/>
              </w:rPr>
              <w:t>消防部门：      □按要求协作        □行动迟缓       ☑不涉及</w:t>
            </w:r>
          </w:p>
        </w:tc>
      </w:tr>
      <w:tr w14:paraId="430C3C04">
        <w:tblPrEx>
          <w:tblCellMar>
            <w:top w:w="0" w:type="dxa"/>
            <w:left w:w="108" w:type="dxa"/>
            <w:bottom w:w="0" w:type="dxa"/>
            <w:right w:w="108" w:type="dxa"/>
          </w:tblCellMar>
        </w:tblPrEx>
        <w:trPr>
          <w:trHeight w:val="479"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6C83AD9E">
            <w:pPr>
              <w:rPr>
                <w:rFonts w:hint="eastAsia" w:ascii="宋体" w:hAnsi="宋体" w:eastAsia="宋体" w:cs="宋体"/>
              </w:rPr>
            </w:pPr>
          </w:p>
        </w:tc>
        <w:tc>
          <w:tcPr>
            <w:tcW w:w="926" w:type="dxa"/>
            <w:vMerge w:val="continue"/>
            <w:tcBorders>
              <w:top w:val="single" w:color="000000" w:sz="4" w:space="0"/>
              <w:left w:val="single" w:color="000000" w:sz="4" w:space="0"/>
              <w:bottom w:val="single" w:color="000000" w:sz="4" w:space="0"/>
              <w:right w:val="single" w:color="000000" w:sz="4" w:space="0"/>
            </w:tcBorders>
            <w:vAlign w:val="center"/>
          </w:tcPr>
          <w:p w14:paraId="190F1EEA">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488E749B">
            <w:pPr>
              <w:rPr>
                <w:rFonts w:hint="eastAsia" w:ascii="宋体" w:hAnsi="宋体" w:eastAsia="宋体" w:cs="宋体"/>
              </w:rPr>
            </w:pPr>
            <w:r>
              <w:rPr>
                <w:rFonts w:hint="eastAsia" w:ascii="宋体" w:hAnsi="宋体" w:eastAsia="宋体" w:cs="宋体"/>
              </w:rPr>
              <w:t>医疗救援部门：  □按要求协作     □行动迟缓      ☑不涉及</w:t>
            </w:r>
          </w:p>
        </w:tc>
      </w:tr>
      <w:tr w14:paraId="6F460C71">
        <w:tblPrEx>
          <w:tblCellMar>
            <w:top w:w="0" w:type="dxa"/>
            <w:left w:w="108" w:type="dxa"/>
            <w:bottom w:w="0" w:type="dxa"/>
            <w:right w:w="108" w:type="dxa"/>
          </w:tblCellMar>
        </w:tblPrEx>
        <w:trPr>
          <w:trHeight w:val="419" w:hRule="atLeast"/>
        </w:trPr>
        <w:tc>
          <w:tcPr>
            <w:tcW w:w="967" w:type="dxa"/>
            <w:vMerge w:val="continue"/>
            <w:tcBorders>
              <w:top w:val="single" w:color="000000" w:sz="4" w:space="0"/>
              <w:left w:val="single" w:color="000000" w:sz="4" w:space="0"/>
              <w:bottom w:val="single" w:color="000000" w:sz="4" w:space="0"/>
              <w:right w:val="single" w:color="000000" w:sz="4" w:space="0"/>
            </w:tcBorders>
            <w:vAlign w:val="center"/>
          </w:tcPr>
          <w:p w14:paraId="1153780C">
            <w:pPr>
              <w:rPr>
                <w:rFonts w:hint="eastAsia" w:ascii="宋体" w:hAnsi="宋体" w:eastAsia="宋体" w:cs="宋体"/>
              </w:rPr>
            </w:pPr>
          </w:p>
        </w:tc>
        <w:tc>
          <w:tcPr>
            <w:tcW w:w="926" w:type="dxa"/>
            <w:vMerge w:val="continue"/>
            <w:tcBorders>
              <w:top w:val="single" w:color="000000" w:sz="4" w:space="0"/>
              <w:left w:val="single" w:color="000000" w:sz="4" w:space="0"/>
              <w:bottom w:val="single" w:color="000000" w:sz="4" w:space="0"/>
              <w:right w:val="single" w:color="000000" w:sz="4" w:space="0"/>
            </w:tcBorders>
            <w:vAlign w:val="center"/>
          </w:tcPr>
          <w:p w14:paraId="28C156C2">
            <w:pPr>
              <w:rPr>
                <w:rFonts w:hint="eastAsia" w:ascii="宋体" w:hAnsi="宋体" w:eastAsia="宋体" w:cs="宋体"/>
              </w:rPr>
            </w:pP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04187665">
            <w:pPr>
              <w:rPr>
                <w:rFonts w:hint="eastAsia" w:ascii="宋体" w:hAnsi="宋体" w:eastAsia="宋体" w:cs="宋体"/>
              </w:rPr>
            </w:pPr>
            <w:r>
              <w:rPr>
                <w:rFonts w:hint="eastAsia" w:ascii="宋体" w:hAnsi="宋体" w:eastAsia="宋体" w:cs="宋体"/>
              </w:rPr>
              <w:t>周边政府撤离配合：□按要求配合     □不配合      ☑不涉及</w:t>
            </w:r>
          </w:p>
        </w:tc>
      </w:tr>
      <w:tr w14:paraId="063DDE4E">
        <w:tblPrEx>
          <w:tblCellMar>
            <w:top w:w="0" w:type="dxa"/>
            <w:left w:w="108" w:type="dxa"/>
            <w:bottom w:w="0" w:type="dxa"/>
            <w:right w:w="108" w:type="dxa"/>
          </w:tblCellMar>
        </w:tblPrEx>
        <w:trPr>
          <w:trHeight w:val="884" w:hRule="atLeast"/>
        </w:trPr>
        <w:tc>
          <w:tcPr>
            <w:tcW w:w="1893" w:type="dxa"/>
            <w:gridSpan w:val="2"/>
            <w:tcBorders>
              <w:top w:val="single" w:color="000000" w:sz="4" w:space="0"/>
              <w:left w:val="single" w:color="000000" w:sz="4" w:space="0"/>
              <w:bottom w:val="single" w:color="000000" w:sz="4" w:space="0"/>
              <w:right w:val="single" w:color="000000" w:sz="4" w:space="0"/>
            </w:tcBorders>
            <w:vAlign w:val="center"/>
          </w:tcPr>
          <w:p w14:paraId="1E07FC29">
            <w:pPr>
              <w:rPr>
                <w:rFonts w:hint="eastAsia" w:ascii="宋体" w:hAnsi="宋体" w:eastAsia="宋体" w:cs="宋体"/>
              </w:rPr>
            </w:pPr>
            <w:r>
              <w:rPr>
                <w:rFonts w:hint="eastAsia" w:ascii="宋体" w:hAnsi="宋体" w:eastAsia="宋体" w:cs="宋体"/>
              </w:rPr>
              <w:t>存在问题和整改措施</w:t>
            </w:r>
          </w:p>
        </w:tc>
        <w:tc>
          <w:tcPr>
            <w:tcW w:w="6880" w:type="dxa"/>
            <w:gridSpan w:val="5"/>
            <w:tcBorders>
              <w:top w:val="single" w:color="000000" w:sz="4" w:space="0"/>
              <w:left w:val="single" w:color="000000" w:sz="4" w:space="0"/>
              <w:bottom w:val="single" w:color="000000" w:sz="4" w:space="0"/>
              <w:right w:val="single" w:color="000000" w:sz="4" w:space="0"/>
            </w:tcBorders>
            <w:vAlign w:val="center"/>
          </w:tcPr>
          <w:p w14:paraId="6AC80BD5">
            <w:pPr>
              <w:rPr>
                <w:rFonts w:hint="eastAsia" w:ascii="宋体" w:hAnsi="宋体" w:eastAsia="宋体" w:cs="宋体"/>
              </w:rPr>
            </w:pPr>
            <w:r>
              <w:rPr>
                <w:rFonts w:hint="eastAsia" w:ascii="宋体" w:hAnsi="宋体" w:eastAsia="宋体" w:cs="宋体"/>
              </w:rPr>
              <w:t xml:space="preserve"> </w:t>
            </w:r>
            <w:r>
              <w:rPr>
                <w:rFonts w:hint="eastAsia" w:ascii="宋体" w:hAnsi="宋体" w:eastAsia="宋体" w:cs="宋体"/>
                <w:lang w:eastAsia="zh-CN"/>
              </w:rPr>
              <w:t>演练技术</w:t>
            </w:r>
            <w:r>
              <w:rPr>
                <w:rFonts w:hint="eastAsia" w:ascii="宋体" w:hAnsi="宋体" w:eastAsia="宋体" w:cs="宋体"/>
              </w:rPr>
              <w:t>培训需要加强、提高</w:t>
            </w:r>
            <w:r>
              <w:rPr>
                <w:rFonts w:hint="eastAsia" w:ascii="宋体" w:hAnsi="宋体" w:eastAsia="宋体" w:cs="宋体"/>
                <w:lang w:eastAsia="zh-CN"/>
              </w:rPr>
              <w:t>演练个人技能</w:t>
            </w:r>
            <w:r>
              <w:rPr>
                <w:rFonts w:hint="eastAsia" w:ascii="宋体" w:hAnsi="宋体" w:eastAsia="宋体" w:cs="宋体"/>
              </w:rPr>
              <w:t>。</w:t>
            </w:r>
          </w:p>
        </w:tc>
      </w:tr>
      <w:tr w14:paraId="7A7E002F">
        <w:tblPrEx>
          <w:tblCellMar>
            <w:top w:w="0" w:type="dxa"/>
            <w:left w:w="108" w:type="dxa"/>
            <w:bottom w:w="0" w:type="dxa"/>
            <w:right w:w="108" w:type="dxa"/>
          </w:tblCellMar>
        </w:tblPrEx>
        <w:trPr>
          <w:trHeight w:val="494" w:hRule="atLeast"/>
        </w:trPr>
        <w:tc>
          <w:tcPr>
            <w:tcW w:w="0" w:type="auto"/>
            <w:gridSpan w:val="7"/>
            <w:tcBorders>
              <w:top w:val="single" w:color="000000" w:sz="4" w:space="0"/>
              <w:left w:val="single" w:color="000000" w:sz="4" w:space="0"/>
              <w:bottom w:val="single" w:color="000000" w:sz="4" w:space="0"/>
              <w:right w:val="single" w:color="000000" w:sz="4" w:space="0"/>
            </w:tcBorders>
            <w:noWrap/>
            <w:vAlign w:val="center"/>
          </w:tcPr>
          <w:p w14:paraId="71D5602A">
            <w:pPr>
              <w:rPr>
                <w:rFonts w:hint="eastAsia" w:ascii="宋体" w:hAnsi="宋体" w:eastAsia="宋体" w:cs="宋体"/>
              </w:rPr>
            </w:pPr>
            <w:r>
              <w:rPr>
                <w:rFonts w:hint="eastAsia" w:ascii="宋体" w:hAnsi="宋体" w:eastAsia="宋体" w:cs="宋体"/>
              </w:rPr>
              <w:t>记录人：</w:t>
            </w:r>
            <w:r>
              <w:rPr>
                <w:rFonts w:hint="eastAsia" w:ascii="宋体" w:hAnsi="宋体" w:eastAsia="宋体" w:cs="宋体"/>
                <w:lang w:eastAsia="zh-CN"/>
              </w:rPr>
              <w:t>王义刚</w:t>
            </w:r>
            <w:r>
              <w:rPr>
                <w:rFonts w:hint="eastAsia" w:ascii="宋体" w:hAnsi="宋体" w:eastAsia="宋体" w:cs="宋体"/>
              </w:rPr>
              <w:t xml:space="preserve">                 时间： 202</w:t>
            </w:r>
            <w:r>
              <w:rPr>
                <w:rFonts w:hint="eastAsia" w:ascii="宋体" w:hAnsi="宋体" w:eastAsia="宋体" w:cs="宋体"/>
                <w:lang w:val="en-US" w:eastAsia="zh-CN"/>
              </w:rPr>
              <w:t>5</w:t>
            </w:r>
            <w:r>
              <w:rPr>
                <w:rFonts w:hint="eastAsia" w:ascii="宋体" w:hAnsi="宋体" w:eastAsia="宋体" w:cs="宋体"/>
              </w:rPr>
              <w:t>年</w:t>
            </w:r>
            <w:r>
              <w:rPr>
                <w:rFonts w:hint="eastAsia" w:ascii="宋体" w:hAnsi="宋体" w:eastAsia="宋体" w:cs="宋体"/>
                <w:lang w:val="en-US" w:eastAsia="zh-CN"/>
              </w:rPr>
              <w:t>5</w:t>
            </w:r>
            <w:r>
              <w:rPr>
                <w:rFonts w:hint="eastAsia" w:ascii="宋体" w:hAnsi="宋体" w:eastAsia="宋体" w:cs="宋体"/>
              </w:rPr>
              <w:t xml:space="preserve"> 月</w:t>
            </w:r>
            <w:r>
              <w:rPr>
                <w:rFonts w:hint="eastAsia" w:ascii="宋体" w:hAnsi="宋体" w:eastAsia="宋体" w:cs="宋体"/>
                <w:lang w:val="en-US" w:eastAsia="zh-CN"/>
              </w:rPr>
              <w:t>29</w:t>
            </w:r>
            <w:r>
              <w:rPr>
                <w:rFonts w:hint="eastAsia" w:ascii="宋体" w:hAnsi="宋体" w:eastAsia="宋体" w:cs="宋体"/>
              </w:rPr>
              <w:t>日</w:t>
            </w:r>
          </w:p>
        </w:tc>
      </w:tr>
    </w:tbl>
    <w:p w14:paraId="5874DF9B">
      <w:pPr>
        <w:spacing w:line="360" w:lineRule="auto"/>
        <w:jc w:val="center"/>
        <w:rPr>
          <w:rFonts w:hint="eastAsia" w:ascii="宋体" w:hAnsi="宋体" w:eastAsia="宋体" w:cs="宋体"/>
          <w:b/>
          <w:bCs/>
          <w:sz w:val="30"/>
          <w:szCs w:val="30"/>
        </w:rPr>
      </w:pPr>
      <w:r>
        <w:rPr>
          <w:rFonts w:hint="eastAsia" w:ascii="宋体" w:hAnsi="宋体" w:eastAsia="宋体" w:cs="宋体"/>
          <w:b/>
          <w:bCs/>
          <w:sz w:val="30"/>
          <w:szCs w:val="30"/>
        </w:rPr>
        <w:t>附表2： 应急救援演练及效果评价记录</w:t>
      </w:r>
    </w:p>
    <w:p w14:paraId="7BDED6E3">
      <w:pPr>
        <w:spacing w:line="360" w:lineRule="auto"/>
        <w:jc w:val="center"/>
        <w:rPr>
          <w:rFonts w:hint="default" w:ascii="宋体" w:hAnsi="宋体" w:eastAsia="宋体" w:cs="宋体"/>
          <w:sz w:val="21"/>
          <w:szCs w:val="21"/>
          <w:lang w:val="en-US" w:eastAsia="zh-CN"/>
        </w:rPr>
      </w:pPr>
      <w:r>
        <w:rPr>
          <w:rFonts w:hint="eastAsia" w:ascii="宋体" w:hAnsi="宋体" w:eastAsia="宋体" w:cs="宋体"/>
          <w:bCs/>
          <w:kern w:val="0"/>
          <w:sz w:val="21"/>
          <w:szCs w:val="21"/>
        </w:rPr>
        <w:t xml:space="preserve">                                               编号</w:t>
      </w:r>
      <w:r>
        <w:rPr>
          <w:rFonts w:hint="eastAsia" w:ascii="宋体" w:hAnsi="宋体" w:eastAsia="宋体" w:cs="宋体"/>
          <w:bCs/>
          <w:sz w:val="21"/>
          <w:szCs w:val="21"/>
        </w:rPr>
        <w:t>：202</w:t>
      </w:r>
      <w:r>
        <w:rPr>
          <w:rFonts w:hint="eastAsia" w:ascii="宋体" w:hAnsi="宋体" w:eastAsia="宋体" w:cs="宋体"/>
          <w:bCs/>
          <w:sz w:val="21"/>
          <w:szCs w:val="21"/>
          <w:lang w:val="en-US" w:eastAsia="zh-CN"/>
        </w:rPr>
        <w:t>5</w:t>
      </w:r>
      <w:r>
        <w:rPr>
          <w:rFonts w:hint="eastAsia" w:ascii="宋体" w:hAnsi="宋体" w:eastAsia="宋体" w:cs="宋体"/>
          <w:bCs/>
          <w:sz w:val="21"/>
          <w:szCs w:val="21"/>
        </w:rPr>
        <w:t>.</w:t>
      </w:r>
      <w:r>
        <w:rPr>
          <w:rFonts w:hint="eastAsia" w:ascii="宋体" w:hAnsi="宋体" w:eastAsia="宋体" w:cs="宋体"/>
          <w:bCs/>
          <w:sz w:val="21"/>
          <w:szCs w:val="21"/>
          <w:lang w:val="en-US" w:eastAsia="zh-CN"/>
        </w:rPr>
        <w:t>5</w:t>
      </w:r>
      <w:r>
        <w:rPr>
          <w:rFonts w:hint="eastAsia" w:ascii="宋体" w:hAnsi="宋体" w:eastAsia="宋体" w:cs="宋体"/>
          <w:bCs/>
          <w:sz w:val="21"/>
          <w:szCs w:val="21"/>
        </w:rPr>
        <w:t>.</w:t>
      </w:r>
      <w:r>
        <w:rPr>
          <w:rFonts w:hint="eastAsia" w:ascii="宋体" w:hAnsi="宋体" w:eastAsia="宋体" w:cs="宋体"/>
          <w:bCs/>
          <w:sz w:val="21"/>
          <w:szCs w:val="21"/>
          <w:lang w:val="en-US" w:eastAsia="zh-CN"/>
        </w:rPr>
        <w:t>29</w:t>
      </w:r>
    </w:p>
    <w:tbl>
      <w:tblPr>
        <w:tblStyle w:val="5"/>
        <w:tblW w:w="94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1382"/>
        <w:gridCol w:w="1225"/>
        <w:gridCol w:w="1035"/>
        <w:gridCol w:w="327"/>
        <w:gridCol w:w="828"/>
        <w:gridCol w:w="313"/>
        <w:gridCol w:w="809"/>
        <w:gridCol w:w="60"/>
        <w:gridCol w:w="174"/>
        <w:gridCol w:w="2844"/>
      </w:tblGrid>
      <w:tr w14:paraId="11D95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838" w:type="dxa"/>
            <w:gridSpan w:val="2"/>
            <w:vAlign w:val="center"/>
          </w:tcPr>
          <w:p w14:paraId="06F5DF79">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预案名称</w:t>
            </w:r>
          </w:p>
        </w:tc>
        <w:tc>
          <w:tcPr>
            <w:tcW w:w="3415" w:type="dxa"/>
            <w:gridSpan w:val="4"/>
            <w:vAlign w:val="center"/>
          </w:tcPr>
          <w:p w14:paraId="6319584F">
            <w:pPr>
              <w:spacing w:line="360" w:lineRule="auto"/>
              <w:jc w:val="center"/>
              <w:rPr>
                <w:rFonts w:hint="eastAsia" w:ascii="宋体" w:hAnsi="宋体" w:eastAsia="宋体" w:cs="宋体"/>
                <w:bCs/>
                <w:sz w:val="21"/>
                <w:szCs w:val="21"/>
              </w:rPr>
            </w:pPr>
            <w:r>
              <w:rPr>
                <w:rFonts w:hint="eastAsia" w:ascii="宋体" w:hAnsi="宋体" w:eastAsia="宋体" w:cs="宋体"/>
                <w:b w:val="0"/>
                <w:bCs w:val="0"/>
                <w:lang w:eastAsia="zh-CN"/>
              </w:rPr>
              <w:t>硫酸泄漏</w:t>
            </w:r>
            <w:r>
              <w:rPr>
                <w:rFonts w:hint="eastAsia" w:ascii="宋体" w:hAnsi="宋体" w:eastAsia="宋体" w:cs="宋体"/>
                <w:b w:val="0"/>
                <w:bCs w:val="0"/>
              </w:rPr>
              <w:t>事故</w:t>
            </w:r>
            <w:r>
              <w:rPr>
                <w:rFonts w:hint="eastAsia" w:ascii="宋体" w:hAnsi="宋体" w:eastAsia="宋体" w:cs="宋体"/>
                <w:b w:val="0"/>
                <w:bCs w:val="0"/>
                <w:lang w:eastAsia="zh-CN"/>
              </w:rPr>
              <w:t>现场</w:t>
            </w:r>
            <w:r>
              <w:rPr>
                <w:rFonts w:hint="eastAsia" w:ascii="宋体" w:hAnsi="宋体" w:eastAsia="宋体" w:cs="宋体"/>
                <w:b w:val="0"/>
                <w:bCs w:val="0"/>
              </w:rPr>
              <w:t>应急</w:t>
            </w:r>
            <w:r>
              <w:rPr>
                <w:rFonts w:hint="eastAsia" w:ascii="宋体" w:hAnsi="宋体" w:eastAsia="宋体" w:cs="宋体"/>
                <w:b w:val="0"/>
                <w:bCs w:val="0"/>
                <w:lang w:eastAsia="zh-CN"/>
              </w:rPr>
              <w:t>处置演练</w:t>
            </w:r>
          </w:p>
        </w:tc>
        <w:tc>
          <w:tcPr>
            <w:tcW w:w="1356" w:type="dxa"/>
            <w:gridSpan w:val="4"/>
            <w:vAlign w:val="center"/>
          </w:tcPr>
          <w:p w14:paraId="72271BE4">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演练地点</w:t>
            </w:r>
          </w:p>
        </w:tc>
        <w:tc>
          <w:tcPr>
            <w:tcW w:w="2844" w:type="dxa"/>
            <w:vAlign w:val="center"/>
          </w:tcPr>
          <w:p w14:paraId="6C1859C9">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厂区</w:t>
            </w:r>
          </w:p>
        </w:tc>
      </w:tr>
      <w:tr w14:paraId="12ACF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838" w:type="dxa"/>
            <w:gridSpan w:val="2"/>
            <w:vAlign w:val="center"/>
          </w:tcPr>
          <w:p w14:paraId="09846252">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组织单位</w:t>
            </w:r>
          </w:p>
        </w:tc>
        <w:tc>
          <w:tcPr>
            <w:tcW w:w="1225" w:type="dxa"/>
            <w:vAlign w:val="center"/>
          </w:tcPr>
          <w:p w14:paraId="6310CB8C">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安</w:t>
            </w:r>
            <w:r>
              <w:rPr>
                <w:rFonts w:hint="eastAsia" w:ascii="宋体" w:hAnsi="宋体" w:eastAsia="宋体" w:cs="宋体"/>
                <w:bCs/>
                <w:sz w:val="21"/>
                <w:szCs w:val="21"/>
                <w:lang w:eastAsia="zh-CN"/>
              </w:rPr>
              <w:t>全</w:t>
            </w:r>
            <w:r>
              <w:rPr>
                <w:rFonts w:hint="eastAsia" w:ascii="宋体" w:hAnsi="宋体" w:eastAsia="宋体" w:cs="宋体"/>
                <w:bCs/>
                <w:sz w:val="21"/>
                <w:szCs w:val="21"/>
              </w:rPr>
              <w:t>科</w:t>
            </w:r>
          </w:p>
        </w:tc>
        <w:tc>
          <w:tcPr>
            <w:tcW w:w="1035" w:type="dxa"/>
            <w:vAlign w:val="center"/>
          </w:tcPr>
          <w:p w14:paraId="560CABB2">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总指挥</w:t>
            </w:r>
          </w:p>
        </w:tc>
        <w:tc>
          <w:tcPr>
            <w:tcW w:w="1155" w:type="dxa"/>
            <w:gridSpan w:val="2"/>
            <w:vAlign w:val="center"/>
          </w:tcPr>
          <w:p w14:paraId="3DEDE42B">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赵传立</w:t>
            </w:r>
          </w:p>
        </w:tc>
        <w:tc>
          <w:tcPr>
            <w:tcW w:w="1356" w:type="dxa"/>
            <w:gridSpan w:val="4"/>
            <w:vAlign w:val="center"/>
          </w:tcPr>
          <w:p w14:paraId="307EF1F3">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演练时间</w:t>
            </w:r>
          </w:p>
        </w:tc>
        <w:tc>
          <w:tcPr>
            <w:tcW w:w="2844" w:type="dxa"/>
          </w:tcPr>
          <w:p w14:paraId="2913830B">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202</w:t>
            </w:r>
            <w:r>
              <w:rPr>
                <w:rFonts w:hint="eastAsia" w:ascii="宋体" w:hAnsi="宋体" w:eastAsia="宋体" w:cs="宋体"/>
                <w:bCs/>
                <w:sz w:val="21"/>
                <w:szCs w:val="21"/>
                <w:lang w:val="en-US" w:eastAsia="zh-CN"/>
              </w:rPr>
              <w:t>5</w:t>
            </w:r>
            <w:r>
              <w:rPr>
                <w:rFonts w:hint="eastAsia" w:ascii="宋体" w:hAnsi="宋体" w:eastAsia="宋体" w:cs="宋体"/>
                <w:bCs/>
                <w:sz w:val="21"/>
                <w:szCs w:val="21"/>
              </w:rPr>
              <w:t>年</w:t>
            </w:r>
            <w:r>
              <w:rPr>
                <w:rFonts w:hint="eastAsia" w:ascii="宋体" w:hAnsi="宋体" w:eastAsia="宋体" w:cs="宋体"/>
                <w:bCs/>
                <w:sz w:val="21"/>
                <w:szCs w:val="21"/>
                <w:lang w:val="en-US" w:eastAsia="zh-CN"/>
              </w:rPr>
              <w:t>5</w:t>
            </w:r>
            <w:r>
              <w:rPr>
                <w:rFonts w:hint="eastAsia" w:ascii="宋体" w:hAnsi="宋体" w:eastAsia="宋体" w:cs="宋体"/>
                <w:bCs/>
                <w:sz w:val="21"/>
                <w:szCs w:val="21"/>
              </w:rPr>
              <w:t>月</w:t>
            </w:r>
            <w:r>
              <w:rPr>
                <w:rFonts w:hint="eastAsia" w:ascii="宋体" w:hAnsi="宋体" w:eastAsia="宋体" w:cs="宋体"/>
                <w:bCs/>
                <w:sz w:val="21"/>
                <w:szCs w:val="21"/>
                <w:lang w:val="en-US" w:eastAsia="zh-CN"/>
              </w:rPr>
              <w:t>29</w:t>
            </w:r>
            <w:r>
              <w:rPr>
                <w:rFonts w:hint="eastAsia" w:ascii="宋体" w:hAnsi="宋体" w:eastAsia="宋体" w:cs="宋体"/>
                <w:bCs/>
                <w:sz w:val="21"/>
                <w:szCs w:val="21"/>
              </w:rPr>
              <w:t>日</w:t>
            </w:r>
          </w:p>
        </w:tc>
      </w:tr>
      <w:tr w14:paraId="4DDB1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1838" w:type="dxa"/>
            <w:gridSpan w:val="2"/>
            <w:vAlign w:val="center"/>
          </w:tcPr>
          <w:p w14:paraId="3DD7A1AD">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参加部门</w:t>
            </w:r>
          </w:p>
          <w:p w14:paraId="3E03846B">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和单位</w:t>
            </w:r>
          </w:p>
        </w:tc>
        <w:tc>
          <w:tcPr>
            <w:tcW w:w="7615" w:type="dxa"/>
            <w:gridSpan w:val="9"/>
            <w:vAlign w:val="center"/>
          </w:tcPr>
          <w:p w14:paraId="639192D6">
            <w:pPr>
              <w:spacing w:line="360" w:lineRule="auto"/>
              <w:rPr>
                <w:rFonts w:hint="eastAsia" w:ascii="宋体" w:hAnsi="宋体" w:eastAsia="宋体" w:cs="宋体"/>
                <w:bCs/>
                <w:sz w:val="21"/>
                <w:szCs w:val="21"/>
              </w:rPr>
            </w:pPr>
            <w:r>
              <w:rPr>
                <w:rFonts w:hint="eastAsia" w:ascii="宋体" w:hAnsi="宋体" w:eastAsia="宋体" w:cs="宋体"/>
                <w:bCs/>
                <w:sz w:val="21"/>
                <w:szCs w:val="21"/>
              </w:rPr>
              <w:t>公司全体员工</w:t>
            </w:r>
          </w:p>
        </w:tc>
      </w:tr>
      <w:tr w14:paraId="34C28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838" w:type="dxa"/>
            <w:gridSpan w:val="2"/>
            <w:vAlign w:val="center"/>
          </w:tcPr>
          <w:p w14:paraId="6D6DE92E">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演练类别</w:t>
            </w:r>
          </w:p>
        </w:tc>
        <w:tc>
          <w:tcPr>
            <w:tcW w:w="3728" w:type="dxa"/>
            <w:gridSpan w:val="5"/>
          </w:tcPr>
          <w:p w14:paraId="1A7C515E">
            <w:pPr>
              <w:spacing w:line="360" w:lineRule="auto"/>
              <w:rPr>
                <w:rFonts w:hint="eastAsia" w:ascii="宋体" w:hAnsi="宋体" w:eastAsia="宋体" w:cs="宋体"/>
                <w:sz w:val="21"/>
                <w:szCs w:val="21"/>
              </w:rPr>
            </w:pPr>
            <w:r>
              <w:rPr>
                <w:rFonts w:hint="eastAsia" w:ascii="宋体" w:hAnsi="宋体" w:eastAsia="宋体" w:cs="宋体"/>
                <w:sz w:val="21"/>
                <w:szCs w:val="21"/>
              </w:rPr>
              <w:t>☑实际演练  □桌面演练  □提问讨论式演练</w:t>
            </w:r>
          </w:p>
          <w:p w14:paraId="0003BDE3">
            <w:pPr>
              <w:tabs>
                <w:tab w:val="left" w:pos="360"/>
              </w:tabs>
              <w:spacing w:line="360" w:lineRule="auto"/>
              <w:rPr>
                <w:rFonts w:hint="eastAsia" w:ascii="宋体" w:hAnsi="宋体" w:eastAsia="宋体" w:cs="宋体"/>
                <w:sz w:val="21"/>
                <w:szCs w:val="21"/>
              </w:rPr>
            </w:pPr>
            <w:r>
              <w:rPr>
                <w:rFonts w:hint="eastAsia" w:ascii="宋体" w:hAnsi="宋体" w:eastAsia="宋体" w:cs="宋体"/>
                <w:sz w:val="21"/>
                <w:szCs w:val="21"/>
              </w:rPr>
              <w:t>□全部预案  ☑部分预案</w:t>
            </w:r>
          </w:p>
        </w:tc>
        <w:tc>
          <w:tcPr>
            <w:tcW w:w="809" w:type="dxa"/>
            <w:vAlign w:val="center"/>
          </w:tcPr>
          <w:p w14:paraId="14A650F2">
            <w:pPr>
              <w:widowControl/>
              <w:spacing w:line="360" w:lineRule="auto"/>
              <w:jc w:val="center"/>
              <w:rPr>
                <w:rFonts w:hint="eastAsia" w:ascii="宋体" w:hAnsi="宋体" w:eastAsia="宋体" w:cs="宋体"/>
                <w:sz w:val="21"/>
                <w:szCs w:val="21"/>
              </w:rPr>
            </w:pPr>
            <w:r>
              <w:rPr>
                <w:rFonts w:hint="eastAsia" w:ascii="宋体" w:hAnsi="宋体" w:eastAsia="宋体" w:cs="宋体"/>
                <w:sz w:val="21"/>
                <w:szCs w:val="21"/>
              </w:rPr>
              <w:t>实际演练部分</w:t>
            </w:r>
          </w:p>
        </w:tc>
        <w:tc>
          <w:tcPr>
            <w:tcW w:w="3078" w:type="dxa"/>
            <w:gridSpan w:val="3"/>
            <w:vAlign w:val="center"/>
          </w:tcPr>
          <w:p w14:paraId="19BF03AC">
            <w:pPr>
              <w:widowControl/>
              <w:spacing w:line="360" w:lineRule="auto"/>
              <w:rPr>
                <w:rFonts w:hint="eastAsia" w:ascii="宋体" w:hAnsi="宋体" w:eastAsia="宋体" w:cs="宋体"/>
                <w:sz w:val="21"/>
                <w:szCs w:val="21"/>
              </w:rPr>
            </w:pPr>
            <w:r>
              <w:rPr>
                <w:rFonts w:hint="eastAsia" w:ascii="宋体" w:hAnsi="宋体" w:eastAsia="宋体" w:cs="宋体"/>
                <w:b w:val="0"/>
                <w:bCs w:val="0"/>
                <w:lang w:eastAsia="zh-CN"/>
              </w:rPr>
              <w:t>硫酸泄漏</w:t>
            </w:r>
            <w:r>
              <w:rPr>
                <w:rFonts w:hint="eastAsia" w:ascii="宋体" w:hAnsi="宋体" w:eastAsia="宋体" w:cs="宋体"/>
                <w:b w:val="0"/>
                <w:bCs w:val="0"/>
              </w:rPr>
              <w:t>事故</w:t>
            </w:r>
            <w:r>
              <w:rPr>
                <w:rFonts w:hint="eastAsia" w:ascii="宋体" w:hAnsi="宋体" w:eastAsia="宋体" w:cs="宋体"/>
                <w:b w:val="0"/>
                <w:bCs w:val="0"/>
                <w:lang w:eastAsia="zh-CN"/>
              </w:rPr>
              <w:t>现</w:t>
            </w:r>
            <w:r>
              <w:rPr>
                <w:rFonts w:hint="eastAsia" w:ascii="宋体" w:hAnsi="宋体" w:eastAsia="宋体" w:cs="宋体"/>
                <w:sz w:val="21"/>
                <w:szCs w:val="21"/>
              </w:rPr>
              <w:t>场处置演练</w:t>
            </w:r>
          </w:p>
        </w:tc>
      </w:tr>
      <w:tr w14:paraId="4F41C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8" w:hRule="atLeast"/>
          <w:jc w:val="center"/>
        </w:trPr>
        <w:tc>
          <w:tcPr>
            <w:tcW w:w="1838" w:type="dxa"/>
            <w:gridSpan w:val="2"/>
            <w:vAlign w:val="center"/>
          </w:tcPr>
          <w:p w14:paraId="0558254D">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物资准备情况</w:t>
            </w:r>
          </w:p>
        </w:tc>
        <w:tc>
          <w:tcPr>
            <w:tcW w:w="2587" w:type="dxa"/>
            <w:gridSpan w:val="3"/>
          </w:tcPr>
          <w:p w14:paraId="5247E34D">
            <w:pPr>
              <w:numPr>
                <w:ilvl w:val="0"/>
                <w:numId w:val="0"/>
              </w:numPr>
              <w:ind w:firstLine="420" w:firstLineChars="200"/>
              <w:rPr>
                <w:rFonts w:hint="eastAsia" w:ascii="宋体" w:hAnsi="宋体" w:eastAsia="宋体" w:cs="宋体"/>
                <w:sz w:val="21"/>
                <w:szCs w:val="21"/>
              </w:rPr>
            </w:pPr>
          </w:p>
          <w:p w14:paraId="3E728014">
            <w:pPr>
              <w:numPr>
                <w:ilvl w:val="0"/>
                <w:numId w:val="0"/>
              </w:numPr>
              <w:ind w:firstLine="420" w:firstLineChars="200"/>
              <w:rPr>
                <w:rFonts w:hint="eastAsia" w:ascii="宋体" w:hAnsi="宋体" w:eastAsia="宋体" w:cs="宋体"/>
                <w:sz w:val="21"/>
                <w:szCs w:val="21"/>
              </w:rPr>
            </w:pPr>
          </w:p>
          <w:p w14:paraId="22D2DD61">
            <w:pPr>
              <w:numPr>
                <w:ilvl w:val="0"/>
                <w:numId w:val="0"/>
              </w:numPr>
              <w:ind w:firstLine="420" w:firstLineChars="200"/>
              <w:rPr>
                <w:rFonts w:hint="eastAsia" w:ascii="宋体" w:hAnsi="宋体" w:eastAsia="宋体" w:cs="宋体"/>
                <w:sz w:val="21"/>
                <w:szCs w:val="21"/>
              </w:rPr>
            </w:pPr>
            <w:r>
              <w:rPr>
                <w:rFonts w:hint="eastAsia" w:ascii="宋体" w:hAnsi="宋体" w:eastAsia="宋体" w:cs="宋体"/>
                <w:sz w:val="21"/>
                <w:szCs w:val="21"/>
              </w:rPr>
              <w:t>1、扬声器1个</w:t>
            </w:r>
          </w:p>
          <w:p w14:paraId="40152743">
            <w:pPr>
              <w:ind w:firstLine="420" w:firstLineChars="200"/>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对讲机1对</w:t>
            </w:r>
          </w:p>
          <w:p w14:paraId="4996449C">
            <w:pPr>
              <w:ind w:firstLine="420" w:firstLineChars="200"/>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警戒线1盘</w:t>
            </w:r>
          </w:p>
          <w:p w14:paraId="1750E0D4">
            <w:pPr>
              <w:numPr>
                <w:ilvl w:val="0"/>
                <w:numId w:val="0"/>
              </w:num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r>
              <w:rPr>
                <w:rFonts w:hint="eastAsia" w:ascii="宋体" w:hAnsi="宋体" w:eastAsia="宋体" w:cs="宋体"/>
                <w:sz w:val="21"/>
                <w:szCs w:val="21"/>
                <w:lang w:eastAsia="zh-CN"/>
              </w:rPr>
              <w:t>铁锨</w:t>
            </w:r>
            <w:r>
              <w:rPr>
                <w:rFonts w:hint="eastAsia" w:ascii="宋体" w:hAnsi="宋体" w:eastAsia="宋体" w:cs="宋体"/>
                <w:sz w:val="21"/>
                <w:szCs w:val="21"/>
                <w:lang w:val="en-US" w:eastAsia="zh-CN"/>
              </w:rPr>
              <w:t>4张</w:t>
            </w:r>
          </w:p>
          <w:p w14:paraId="71F4A2BC">
            <w:pPr>
              <w:numPr>
                <w:ilvl w:val="0"/>
                <w:numId w:val="0"/>
              </w:num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r>
              <w:rPr>
                <w:rFonts w:hint="eastAsia" w:ascii="宋体" w:hAnsi="宋体" w:eastAsia="宋体" w:cs="宋体"/>
                <w:sz w:val="21"/>
                <w:szCs w:val="21"/>
                <w:lang w:eastAsia="zh-CN"/>
              </w:rPr>
              <w:t>装载车</w:t>
            </w:r>
            <w:r>
              <w:rPr>
                <w:rFonts w:hint="eastAsia" w:ascii="宋体" w:hAnsi="宋体" w:eastAsia="宋体" w:cs="宋体"/>
                <w:sz w:val="21"/>
                <w:szCs w:val="21"/>
                <w:lang w:val="en-US" w:eastAsia="zh-CN"/>
              </w:rPr>
              <w:t>1辆</w:t>
            </w:r>
          </w:p>
          <w:p w14:paraId="4EBFDB4B">
            <w:pPr>
              <w:numPr>
                <w:ilvl w:val="0"/>
                <w:numId w:val="0"/>
              </w:num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6、中和剂0.5吨</w:t>
            </w:r>
          </w:p>
          <w:p w14:paraId="0485FD52">
            <w:pPr>
              <w:numPr>
                <w:ilvl w:val="0"/>
                <w:numId w:val="0"/>
              </w:numPr>
              <w:ind w:firstLine="420" w:firstLineChars="200"/>
              <w:rPr>
                <w:rFonts w:hint="eastAsia" w:ascii="宋体" w:hAnsi="宋体" w:eastAsia="宋体" w:cs="宋体"/>
                <w:sz w:val="21"/>
                <w:szCs w:val="21"/>
                <w:lang w:val="en-US" w:eastAsia="zh-CN"/>
              </w:rPr>
            </w:pPr>
          </w:p>
          <w:p w14:paraId="1C300E18">
            <w:pPr>
              <w:rPr>
                <w:rFonts w:hint="eastAsia" w:ascii="宋体" w:hAnsi="宋体" w:eastAsia="宋体" w:cs="宋体"/>
                <w:sz w:val="21"/>
                <w:szCs w:val="21"/>
              </w:rPr>
            </w:pPr>
          </w:p>
          <w:p w14:paraId="51EE12BD">
            <w:pPr>
              <w:widowControl/>
              <w:spacing w:line="360" w:lineRule="auto"/>
              <w:jc w:val="left"/>
              <w:rPr>
                <w:rFonts w:hint="eastAsia" w:ascii="宋体" w:hAnsi="宋体" w:eastAsia="宋体" w:cs="宋体"/>
                <w:sz w:val="21"/>
                <w:szCs w:val="21"/>
              </w:rPr>
            </w:pPr>
          </w:p>
        </w:tc>
        <w:tc>
          <w:tcPr>
            <w:tcW w:w="2010" w:type="dxa"/>
            <w:gridSpan w:val="4"/>
            <w:vAlign w:val="center"/>
          </w:tcPr>
          <w:p w14:paraId="66B2B8BC">
            <w:pPr>
              <w:widowControl/>
              <w:spacing w:line="360" w:lineRule="auto"/>
              <w:jc w:val="center"/>
              <w:rPr>
                <w:rFonts w:hint="eastAsia" w:ascii="宋体" w:hAnsi="宋体" w:eastAsia="宋体" w:cs="宋体"/>
                <w:sz w:val="21"/>
                <w:szCs w:val="21"/>
              </w:rPr>
            </w:pPr>
            <w:r>
              <w:rPr>
                <w:rFonts w:hint="eastAsia" w:ascii="宋体" w:hAnsi="宋体" w:eastAsia="宋体" w:cs="宋体"/>
                <w:bCs/>
                <w:sz w:val="21"/>
                <w:szCs w:val="21"/>
              </w:rPr>
              <w:t>人员培训情况</w:t>
            </w:r>
          </w:p>
        </w:tc>
        <w:tc>
          <w:tcPr>
            <w:tcW w:w="3018" w:type="dxa"/>
            <w:gridSpan w:val="2"/>
            <w:vAlign w:val="center"/>
          </w:tcPr>
          <w:p w14:paraId="7EA8A086">
            <w:pPr>
              <w:widowControl/>
              <w:spacing w:line="360" w:lineRule="auto"/>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人员已培训</w:t>
            </w:r>
          </w:p>
        </w:tc>
      </w:tr>
      <w:tr w14:paraId="256D4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38" w:type="dxa"/>
            <w:gridSpan w:val="2"/>
            <w:vAlign w:val="center"/>
          </w:tcPr>
          <w:p w14:paraId="22EF0E40">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演练过程</w:t>
            </w:r>
          </w:p>
          <w:p w14:paraId="59EAE592">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简述</w:t>
            </w:r>
          </w:p>
        </w:tc>
        <w:tc>
          <w:tcPr>
            <w:tcW w:w="7615" w:type="dxa"/>
            <w:gridSpan w:val="9"/>
          </w:tcPr>
          <w:p w14:paraId="02990769">
            <w:pPr>
              <w:spacing w:line="360" w:lineRule="auto"/>
              <w:rPr>
                <w:rFonts w:hint="eastAsia" w:ascii="宋体" w:hAnsi="宋体" w:eastAsia="宋体" w:cs="宋体"/>
                <w:sz w:val="21"/>
                <w:szCs w:val="21"/>
              </w:rPr>
            </w:pPr>
            <w:r>
              <w:rPr>
                <w:rFonts w:hint="eastAsia" w:ascii="宋体" w:hAnsi="宋体" w:eastAsia="宋体" w:cs="宋体"/>
                <w:sz w:val="21"/>
                <w:szCs w:val="21"/>
              </w:rPr>
              <w:t>1、15:00</w:t>
            </w:r>
            <w:r>
              <w:rPr>
                <w:rFonts w:hint="eastAsia" w:ascii="宋体" w:hAnsi="宋体" w:eastAsia="宋体" w:cs="宋体"/>
                <w:sz w:val="21"/>
                <w:szCs w:val="21"/>
                <w:lang w:eastAsia="zh-CN"/>
              </w:rPr>
              <w:t>时，现场作业人员</w:t>
            </w:r>
            <w:r>
              <w:rPr>
                <w:rFonts w:hint="eastAsia" w:ascii="宋体" w:hAnsi="宋体" w:eastAsia="宋体" w:cs="宋体"/>
                <w:sz w:val="21"/>
                <w:szCs w:val="21"/>
              </w:rPr>
              <w:t>发现</w:t>
            </w:r>
            <w:r>
              <w:rPr>
                <w:rFonts w:hint="eastAsia" w:ascii="宋体" w:hAnsi="宋体" w:eastAsia="宋体" w:cs="宋体"/>
                <w:sz w:val="21"/>
                <w:szCs w:val="21"/>
                <w:lang w:eastAsia="zh-CN"/>
              </w:rPr>
              <w:t>硫酸泄漏</w:t>
            </w:r>
            <w:r>
              <w:rPr>
                <w:rFonts w:hint="eastAsia" w:ascii="宋体" w:hAnsi="宋体" w:eastAsia="宋体" w:cs="宋体"/>
                <w:sz w:val="21"/>
                <w:szCs w:val="21"/>
              </w:rPr>
              <w:t>，立即查看并</w:t>
            </w:r>
            <w:r>
              <w:rPr>
                <w:rFonts w:hint="eastAsia" w:ascii="宋体" w:hAnsi="宋体" w:eastAsia="宋体" w:cs="宋体"/>
                <w:sz w:val="21"/>
                <w:szCs w:val="21"/>
                <w:lang w:eastAsia="zh-CN"/>
              </w:rPr>
              <w:t>第一时间</w:t>
            </w:r>
            <w:r>
              <w:rPr>
                <w:rFonts w:hint="eastAsia" w:ascii="宋体" w:hAnsi="宋体" w:eastAsia="宋体" w:cs="宋体"/>
                <w:sz w:val="21"/>
                <w:szCs w:val="21"/>
              </w:rPr>
              <w:t>报告</w:t>
            </w:r>
            <w:r>
              <w:rPr>
                <w:rFonts w:hint="eastAsia" w:ascii="宋体" w:hAnsi="宋体" w:eastAsia="宋体" w:cs="宋体"/>
                <w:sz w:val="21"/>
                <w:szCs w:val="21"/>
                <w:lang w:eastAsia="zh-CN"/>
              </w:rPr>
              <w:t>安全科</w:t>
            </w:r>
            <w:r>
              <w:rPr>
                <w:rFonts w:hint="eastAsia" w:ascii="宋体" w:hAnsi="宋体" w:eastAsia="宋体" w:cs="宋体"/>
                <w:sz w:val="21"/>
                <w:szCs w:val="21"/>
              </w:rPr>
              <w:t>，</w:t>
            </w:r>
            <w:r>
              <w:rPr>
                <w:rFonts w:hint="eastAsia" w:ascii="宋体" w:hAnsi="宋体" w:eastAsia="宋体" w:cs="宋体"/>
                <w:sz w:val="21"/>
                <w:szCs w:val="21"/>
                <w:lang w:eastAsia="zh-CN"/>
              </w:rPr>
              <w:t>安全科</w:t>
            </w:r>
            <w:r>
              <w:rPr>
                <w:rFonts w:hint="eastAsia" w:ascii="宋体" w:hAnsi="宋体" w:eastAsia="宋体" w:cs="宋体"/>
                <w:sz w:val="21"/>
                <w:szCs w:val="21"/>
              </w:rPr>
              <w:t>立即报告现场处置总指挥，总指挥下达启动应急救援指令，让通讯组长通知所有参加义务现场处置队员在现场处置附近集合进行应急处理。</w:t>
            </w:r>
          </w:p>
          <w:p w14:paraId="31DF2590">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2、预警信号发布后领导小组成员、各专业组人员、救援队在2分钟内赶到赴现场组织抢险救援工作，并向总指挥报告人员到位情况，由应急领导总指挥统一指挥。 </w:t>
            </w:r>
          </w:p>
          <w:p w14:paraId="598BE4E1">
            <w:pPr>
              <w:spacing w:line="360" w:lineRule="auto"/>
              <w:rPr>
                <w:rFonts w:hint="eastAsia" w:ascii="宋体" w:hAnsi="宋体" w:eastAsia="宋体" w:cs="宋体"/>
                <w:sz w:val="21"/>
                <w:szCs w:val="21"/>
              </w:rPr>
            </w:pPr>
            <w:r>
              <w:rPr>
                <w:rFonts w:hint="eastAsia" w:ascii="宋体" w:hAnsi="宋体" w:eastAsia="宋体" w:cs="宋体"/>
                <w:sz w:val="21"/>
                <w:szCs w:val="21"/>
              </w:rPr>
              <w:t>3、</w:t>
            </w:r>
            <w:r>
              <w:rPr>
                <w:rFonts w:hint="eastAsia" w:ascii="宋体" w:hAnsi="宋体" w:eastAsia="宋体" w:cs="宋体"/>
                <w:color w:val="000000" w:themeColor="text1"/>
                <w:kern w:val="0"/>
                <w:sz w:val="21"/>
                <w:szCs w:val="21"/>
                <w14:textFill>
                  <w14:solidFill>
                    <w14:schemeClr w14:val="tx1"/>
                  </w14:solidFill>
                </w14:textFill>
              </w:rPr>
              <w:t>总指挥视现场情况确定应急等级，当时</w:t>
            </w:r>
            <w:r>
              <w:rPr>
                <w:rFonts w:hint="eastAsia" w:ascii="宋体" w:hAnsi="宋体" w:eastAsia="宋体" w:cs="宋体"/>
                <w:color w:val="000000" w:themeColor="text1"/>
                <w:kern w:val="0"/>
                <w:sz w:val="21"/>
                <w:szCs w:val="21"/>
                <w:lang w:eastAsia="zh-CN"/>
                <w14:textFill>
                  <w14:solidFill>
                    <w14:schemeClr w14:val="tx1"/>
                  </w14:solidFill>
                </w14:textFill>
              </w:rPr>
              <w:t>硫酸泄漏面积较小，</w:t>
            </w:r>
            <w:r>
              <w:rPr>
                <w:rFonts w:hint="eastAsia" w:ascii="宋体" w:hAnsi="宋体" w:eastAsia="宋体" w:cs="宋体"/>
                <w:color w:val="000000" w:themeColor="text1"/>
                <w:kern w:val="0"/>
                <w:sz w:val="21"/>
                <w:szCs w:val="21"/>
                <w14:textFill>
                  <w14:solidFill>
                    <w14:schemeClr w14:val="tx1"/>
                  </w14:solidFill>
                </w14:textFill>
              </w:rPr>
              <w:t>组织</w:t>
            </w:r>
            <w:r>
              <w:rPr>
                <w:rFonts w:hint="eastAsia" w:ascii="宋体" w:hAnsi="宋体" w:eastAsia="宋体" w:cs="宋体"/>
                <w:color w:val="000000" w:themeColor="text1"/>
                <w:kern w:val="0"/>
                <w:sz w:val="21"/>
                <w:szCs w:val="21"/>
                <w:lang w:eastAsia="zh-CN"/>
                <w14:textFill>
                  <w14:solidFill>
                    <w14:schemeClr w14:val="tx1"/>
                  </w14:solidFill>
                </w14:textFill>
              </w:rPr>
              <w:t>救援</w:t>
            </w:r>
            <w:r>
              <w:rPr>
                <w:rFonts w:hint="eastAsia" w:ascii="宋体" w:hAnsi="宋体" w:eastAsia="宋体" w:cs="宋体"/>
                <w:color w:val="000000" w:themeColor="text1"/>
                <w:kern w:val="0"/>
                <w:sz w:val="21"/>
                <w:szCs w:val="21"/>
                <w14:textFill>
                  <w14:solidFill>
                    <w14:schemeClr w14:val="tx1"/>
                  </w14:solidFill>
                </w14:textFill>
              </w:rPr>
              <w:t>人员</w:t>
            </w:r>
            <w:r>
              <w:rPr>
                <w:rFonts w:hint="eastAsia" w:ascii="宋体" w:hAnsi="宋体" w:eastAsia="宋体" w:cs="宋体"/>
                <w:color w:val="000000" w:themeColor="text1"/>
                <w:kern w:val="0"/>
                <w:sz w:val="21"/>
                <w:szCs w:val="21"/>
                <w:lang w:eastAsia="zh-CN"/>
                <w14:textFill>
                  <w14:solidFill>
                    <w14:schemeClr w14:val="tx1"/>
                  </w14:solidFill>
                </w14:textFill>
              </w:rPr>
              <w:t>现场处置。</w:t>
            </w:r>
          </w:p>
          <w:p w14:paraId="4785CAC7">
            <w:pPr>
              <w:spacing w:line="360" w:lineRule="auto"/>
              <w:rPr>
                <w:rFonts w:hint="eastAsia" w:ascii="宋体" w:hAnsi="宋体" w:eastAsia="宋体" w:cs="宋体"/>
                <w:sz w:val="21"/>
                <w:szCs w:val="21"/>
              </w:rPr>
            </w:pPr>
            <w:r>
              <w:rPr>
                <w:rFonts w:hint="eastAsia" w:ascii="宋体" w:hAnsi="宋体" w:eastAsia="宋体" w:cs="宋体"/>
                <w:sz w:val="21"/>
                <w:szCs w:val="21"/>
              </w:rPr>
              <w:t>4、总指挥对演练进行点评，请公司领导讲话，最后由总指挥宣布演练结束。</w:t>
            </w:r>
          </w:p>
          <w:p w14:paraId="3984C129">
            <w:pPr>
              <w:spacing w:line="360" w:lineRule="auto"/>
              <w:rPr>
                <w:rFonts w:hint="eastAsia" w:ascii="宋体" w:hAnsi="宋体" w:eastAsia="宋体" w:cs="宋体"/>
                <w:sz w:val="21"/>
                <w:szCs w:val="21"/>
              </w:rPr>
            </w:pPr>
            <w:r>
              <w:rPr>
                <w:rFonts w:hint="eastAsia" w:ascii="宋体" w:hAnsi="宋体" w:eastAsia="宋体" w:cs="宋体"/>
                <w:sz w:val="21"/>
                <w:szCs w:val="21"/>
              </w:rPr>
              <w:t>5、演习结束后，整理现场，安全科根据演练情况写出演练总结，根据实际情况对预案进行优化、补充完善。</w:t>
            </w:r>
          </w:p>
          <w:p w14:paraId="71C93A50">
            <w:pPr>
              <w:spacing w:line="360" w:lineRule="auto"/>
              <w:rPr>
                <w:rFonts w:hint="eastAsia" w:ascii="宋体" w:hAnsi="宋体" w:eastAsia="宋体" w:cs="宋体"/>
                <w:sz w:val="21"/>
                <w:szCs w:val="21"/>
              </w:rPr>
            </w:pPr>
          </w:p>
          <w:p w14:paraId="58AE3630">
            <w:pPr>
              <w:spacing w:line="360" w:lineRule="auto"/>
              <w:rPr>
                <w:rFonts w:hint="eastAsia" w:ascii="宋体" w:hAnsi="宋体" w:eastAsia="宋体" w:cs="宋体"/>
                <w:sz w:val="21"/>
                <w:szCs w:val="21"/>
              </w:rPr>
            </w:pPr>
          </w:p>
        </w:tc>
      </w:tr>
      <w:tr w14:paraId="183E4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1838" w:type="dxa"/>
            <w:gridSpan w:val="2"/>
            <w:vAlign w:val="center"/>
          </w:tcPr>
          <w:p w14:paraId="186E57E8">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预案适宜性充分性评审</w:t>
            </w:r>
          </w:p>
        </w:tc>
        <w:tc>
          <w:tcPr>
            <w:tcW w:w="7615" w:type="dxa"/>
            <w:gridSpan w:val="9"/>
            <w:vAlign w:val="center"/>
          </w:tcPr>
          <w:p w14:paraId="57376ECE">
            <w:pPr>
              <w:spacing w:line="360" w:lineRule="auto"/>
              <w:rPr>
                <w:rFonts w:hint="eastAsia" w:ascii="宋体" w:hAnsi="宋体" w:eastAsia="宋体" w:cs="宋体"/>
                <w:sz w:val="21"/>
                <w:szCs w:val="21"/>
              </w:rPr>
            </w:pPr>
            <w:r>
              <w:rPr>
                <w:rFonts w:hint="eastAsia" w:ascii="宋体" w:hAnsi="宋体" w:eastAsia="宋体" w:cs="宋体"/>
                <w:sz w:val="21"/>
                <w:szCs w:val="21"/>
              </w:rPr>
              <w:t>适宜性：☑全部能够执行  □执行过程不够顺利  □明显不适宜</w:t>
            </w:r>
          </w:p>
          <w:p w14:paraId="4A9383EA">
            <w:pPr>
              <w:spacing w:line="360" w:lineRule="auto"/>
              <w:rPr>
                <w:rFonts w:hint="eastAsia" w:ascii="宋体" w:hAnsi="宋体" w:eastAsia="宋体" w:cs="宋体"/>
                <w:sz w:val="21"/>
                <w:szCs w:val="21"/>
              </w:rPr>
            </w:pPr>
            <w:r>
              <w:rPr>
                <w:rFonts w:hint="eastAsia" w:ascii="宋体" w:hAnsi="宋体" w:eastAsia="宋体" w:cs="宋体"/>
                <w:sz w:val="21"/>
                <w:szCs w:val="21"/>
              </w:rPr>
              <w:t>充分性：□完全满足应急要求  ☑基本满足需要完善  □不充分，必须修改</w:t>
            </w:r>
          </w:p>
        </w:tc>
      </w:tr>
      <w:tr w14:paraId="29E89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456" w:type="dxa"/>
            <w:vMerge w:val="restart"/>
            <w:vAlign w:val="center"/>
          </w:tcPr>
          <w:p w14:paraId="0A956016">
            <w:pPr>
              <w:spacing w:line="360" w:lineRule="auto"/>
              <w:rPr>
                <w:rFonts w:hint="eastAsia" w:ascii="宋体" w:hAnsi="宋体" w:eastAsia="宋体" w:cs="宋体"/>
                <w:bCs/>
                <w:sz w:val="21"/>
                <w:szCs w:val="21"/>
              </w:rPr>
            </w:pPr>
            <w:r>
              <w:rPr>
                <w:rFonts w:hint="eastAsia" w:ascii="宋体" w:hAnsi="宋体" w:eastAsia="宋体" w:cs="宋体"/>
                <w:bCs/>
                <w:sz w:val="21"/>
                <w:szCs w:val="21"/>
              </w:rPr>
              <w:t>演练效果评审</w:t>
            </w:r>
          </w:p>
        </w:tc>
        <w:tc>
          <w:tcPr>
            <w:tcW w:w="1382" w:type="dxa"/>
            <w:vAlign w:val="center"/>
          </w:tcPr>
          <w:p w14:paraId="1D695F5A">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人员到位情况</w:t>
            </w:r>
          </w:p>
        </w:tc>
        <w:tc>
          <w:tcPr>
            <w:tcW w:w="7615" w:type="dxa"/>
            <w:gridSpan w:val="9"/>
            <w:vAlign w:val="center"/>
          </w:tcPr>
          <w:p w14:paraId="3A1DCD84">
            <w:pPr>
              <w:spacing w:line="360" w:lineRule="auto"/>
              <w:rPr>
                <w:rFonts w:hint="eastAsia" w:ascii="宋体" w:hAnsi="宋体" w:eastAsia="宋体" w:cs="宋体"/>
                <w:sz w:val="21"/>
                <w:szCs w:val="21"/>
              </w:rPr>
            </w:pPr>
            <w:r>
              <w:rPr>
                <w:rFonts w:hint="eastAsia" w:ascii="宋体" w:hAnsi="宋体" w:eastAsia="宋体" w:cs="宋体"/>
                <w:sz w:val="21"/>
                <w:szCs w:val="21"/>
              </w:rPr>
              <w:t>□迅速准确  ☑基本按时到位  □个别人员不到位  □重点部位人员不到位</w:t>
            </w:r>
          </w:p>
          <w:p w14:paraId="75008617">
            <w:pPr>
              <w:spacing w:line="360" w:lineRule="auto"/>
              <w:rPr>
                <w:rFonts w:hint="eastAsia" w:ascii="宋体" w:hAnsi="宋体" w:eastAsia="宋体" w:cs="宋体"/>
                <w:sz w:val="21"/>
                <w:szCs w:val="21"/>
              </w:rPr>
            </w:pPr>
            <w:r>
              <w:rPr>
                <w:rFonts w:hint="eastAsia" w:ascii="宋体" w:hAnsi="宋体" w:eastAsia="宋体" w:cs="宋体"/>
                <w:sz w:val="21"/>
                <w:szCs w:val="21"/>
              </w:rPr>
              <w:t>□职责明确，操作熟练  ☑职责明确，操作不够熟练  □职责不明，操作不熟练</w:t>
            </w:r>
          </w:p>
        </w:tc>
      </w:tr>
      <w:tr w14:paraId="4E295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456" w:type="dxa"/>
            <w:vMerge w:val="continue"/>
          </w:tcPr>
          <w:p w14:paraId="1F4B10B7">
            <w:pPr>
              <w:spacing w:line="360" w:lineRule="auto"/>
              <w:rPr>
                <w:rFonts w:hint="eastAsia" w:ascii="宋体" w:hAnsi="宋体" w:eastAsia="宋体" w:cs="宋体"/>
                <w:bCs/>
                <w:sz w:val="21"/>
                <w:szCs w:val="21"/>
              </w:rPr>
            </w:pPr>
          </w:p>
        </w:tc>
        <w:tc>
          <w:tcPr>
            <w:tcW w:w="1382" w:type="dxa"/>
            <w:vAlign w:val="center"/>
          </w:tcPr>
          <w:p w14:paraId="70F3668E">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物资到位情况</w:t>
            </w:r>
          </w:p>
        </w:tc>
        <w:tc>
          <w:tcPr>
            <w:tcW w:w="7615" w:type="dxa"/>
            <w:gridSpan w:val="9"/>
            <w:vAlign w:val="center"/>
          </w:tcPr>
          <w:p w14:paraId="4AFEF9F2">
            <w:pPr>
              <w:spacing w:line="360" w:lineRule="auto"/>
              <w:rPr>
                <w:rFonts w:hint="eastAsia" w:ascii="宋体" w:hAnsi="宋体" w:eastAsia="宋体" w:cs="宋体"/>
                <w:sz w:val="21"/>
                <w:szCs w:val="21"/>
              </w:rPr>
            </w:pPr>
            <w:r>
              <w:rPr>
                <w:rFonts w:hint="eastAsia" w:ascii="宋体" w:hAnsi="宋体" w:eastAsia="宋体" w:cs="宋体"/>
                <w:sz w:val="21"/>
                <w:szCs w:val="21"/>
              </w:rPr>
              <w:t>现场物资：☑现场物资充分，全部有效  □现场准备不充分  □现场物资严重缺乏</w:t>
            </w:r>
          </w:p>
          <w:p w14:paraId="3A8BC671">
            <w:pPr>
              <w:spacing w:line="360" w:lineRule="auto"/>
              <w:rPr>
                <w:rFonts w:hint="eastAsia" w:ascii="宋体" w:hAnsi="宋体" w:eastAsia="宋体" w:cs="宋体"/>
                <w:sz w:val="21"/>
                <w:szCs w:val="21"/>
              </w:rPr>
            </w:pPr>
            <w:r>
              <w:rPr>
                <w:rFonts w:hint="eastAsia" w:ascii="宋体" w:hAnsi="宋体" w:eastAsia="宋体" w:cs="宋体"/>
                <w:sz w:val="21"/>
                <w:szCs w:val="21"/>
              </w:rPr>
              <w:t>个人防护：☑全部人员防护到位 □个别人员防护不到位  □大部分人员防护不到位</w:t>
            </w:r>
          </w:p>
        </w:tc>
      </w:tr>
      <w:tr w14:paraId="2AA5C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456" w:type="dxa"/>
            <w:vMerge w:val="continue"/>
          </w:tcPr>
          <w:p w14:paraId="7AE4AA4A">
            <w:pPr>
              <w:spacing w:line="360" w:lineRule="auto"/>
              <w:rPr>
                <w:rFonts w:hint="eastAsia" w:ascii="宋体" w:hAnsi="宋体" w:eastAsia="宋体" w:cs="宋体"/>
                <w:bCs/>
                <w:sz w:val="21"/>
                <w:szCs w:val="21"/>
              </w:rPr>
            </w:pPr>
          </w:p>
        </w:tc>
        <w:tc>
          <w:tcPr>
            <w:tcW w:w="1382" w:type="dxa"/>
            <w:vAlign w:val="center"/>
          </w:tcPr>
          <w:p w14:paraId="6756F5C0">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协调组织情况</w:t>
            </w:r>
          </w:p>
        </w:tc>
        <w:tc>
          <w:tcPr>
            <w:tcW w:w="7615" w:type="dxa"/>
            <w:gridSpan w:val="9"/>
            <w:vAlign w:val="center"/>
          </w:tcPr>
          <w:p w14:paraId="45DD9F0B">
            <w:pPr>
              <w:spacing w:line="360" w:lineRule="auto"/>
              <w:rPr>
                <w:rFonts w:hint="eastAsia" w:ascii="宋体" w:hAnsi="宋体" w:eastAsia="宋体" w:cs="宋体"/>
                <w:sz w:val="21"/>
                <w:szCs w:val="21"/>
              </w:rPr>
            </w:pPr>
            <w:r>
              <w:rPr>
                <w:rFonts w:hint="eastAsia" w:ascii="宋体" w:hAnsi="宋体" w:eastAsia="宋体" w:cs="宋体"/>
                <w:sz w:val="21"/>
                <w:szCs w:val="21"/>
              </w:rPr>
              <w:t>整体组织：□准确、高效  ☑协调基本顺利，能满足要求  □效率低，有待改进</w:t>
            </w:r>
          </w:p>
          <w:p w14:paraId="30D7433D">
            <w:pPr>
              <w:spacing w:line="360" w:lineRule="auto"/>
              <w:rPr>
                <w:rFonts w:hint="eastAsia" w:ascii="宋体" w:hAnsi="宋体" w:eastAsia="宋体" w:cs="宋体"/>
                <w:sz w:val="21"/>
                <w:szCs w:val="21"/>
              </w:rPr>
            </w:pPr>
            <w:r>
              <w:rPr>
                <w:rFonts w:hint="eastAsia" w:ascii="宋体" w:hAnsi="宋体" w:eastAsia="宋体" w:cs="宋体"/>
                <w:sz w:val="21"/>
                <w:szCs w:val="21"/>
              </w:rPr>
              <w:t>抢险组分工：□合理、高效  ☑基本合理，能完成任务  □效率低，没有完成任务</w:t>
            </w:r>
          </w:p>
        </w:tc>
      </w:tr>
      <w:tr w14:paraId="71D0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456" w:type="dxa"/>
            <w:vMerge w:val="continue"/>
          </w:tcPr>
          <w:p w14:paraId="32F4E54A">
            <w:pPr>
              <w:spacing w:line="360" w:lineRule="auto"/>
              <w:rPr>
                <w:rFonts w:hint="eastAsia" w:ascii="宋体" w:hAnsi="宋体" w:eastAsia="宋体" w:cs="宋体"/>
                <w:bCs/>
                <w:sz w:val="21"/>
                <w:szCs w:val="21"/>
              </w:rPr>
            </w:pPr>
          </w:p>
        </w:tc>
        <w:tc>
          <w:tcPr>
            <w:tcW w:w="1382" w:type="dxa"/>
            <w:vAlign w:val="center"/>
          </w:tcPr>
          <w:p w14:paraId="51306C3C">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实战效果评价</w:t>
            </w:r>
          </w:p>
        </w:tc>
        <w:tc>
          <w:tcPr>
            <w:tcW w:w="7615" w:type="dxa"/>
            <w:gridSpan w:val="9"/>
            <w:vAlign w:val="center"/>
          </w:tcPr>
          <w:p w14:paraId="05B74CBE">
            <w:pPr>
              <w:spacing w:line="360" w:lineRule="auto"/>
              <w:rPr>
                <w:rFonts w:hint="eastAsia" w:ascii="宋体" w:hAnsi="宋体" w:eastAsia="宋体" w:cs="宋体"/>
                <w:sz w:val="21"/>
                <w:szCs w:val="21"/>
              </w:rPr>
            </w:pPr>
            <w:r>
              <w:rPr>
                <w:rFonts w:hint="eastAsia" w:ascii="宋体" w:hAnsi="宋体" w:eastAsia="宋体" w:cs="宋体"/>
                <w:sz w:val="21"/>
                <w:szCs w:val="21"/>
              </w:rPr>
              <w:t>☑达到预期目标  □基本达到目的，部分环节有待改进  □没有达到目标，须重新演练</w:t>
            </w:r>
          </w:p>
        </w:tc>
      </w:tr>
      <w:tr w14:paraId="790CB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456" w:type="dxa"/>
            <w:vMerge w:val="continue"/>
          </w:tcPr>
          <w:p w14:paraId="004E467F">
            <w:pPr>
              <w:spacing w:line="360" w:lineRule="auto"/>
              <w:rPr>
                <w:rFonts w:hint="eastAsia" w:ascii="宋体" w:hAnsi="宋体" w:eastAsia="宋体" w:cs="宋体"/>
                <w:bCs/>
                <w:sz w:val="21"/>
                <w:szCs w:val="21"/>
              </w:rPr>
            </w:pPr>
          </w:p>
        </w:tc>
        <w:tc>
          <w:tcPr>
            <w:tcW w:w="1382" w:type="dxa"/>
            <w:vAlign w:val="center"/>
          </w:tcPr>
          <w:p w14:paraId="36FC30FE">
            <w:pPr>
              <w:spacing w:line="360" w:lineRule="auto"/>
              <w:jc w:val="center"/>
              <w:rPr>
                <w:rFonts w:hint="eastAsia" w:ascii="宋体" w:hAnsi="宋体" w:eastAsia="宋体" w:cs="宋体"/>
                <w:bCs/>
                <w:sz w:val="21"/>
                <w:szCs w:val="21"/>
              </w:rPr>
            </w:pPr>
            <w:r>
              <w:rPr>
                <w:rFonts w:hint="eastAsia" w:ascii="宋体" w:hAnsi="宋体" w:eastAsia="宋体" w:cs="宋体"/>
                <w:bCs/>
                <w:sz w:val="21"/>
                <w:szCs w:val="21"/>
              </w:rPr>
              <w:t>外部支援部门和协作有效性</w:t>
            </w:r>
          </w:p>
        </w:tc>
        <w:tc>
          <w:tcPr>
            <w:tcW w:w="7615" w:type="dxa"/>
            <w:gridSpan w:val="9"/>
            <w:vAlign w:val="center"/>
          </w:tcPr>
          <w:p w14:paraId="3964CC9B">
            <w:pPr>
              <w:spacing w:line="360" w:lineRule="auto"/>
              <w:rPr>
                <w:rFonts w:hint="eastAsia" w:ascii="宋体" w:hAnsi="宋体" w:eastAsia="宋体" w:cs="宋体"/>
                <w:sz w:val="21"/>
                <w:szCs w:val="21"/>
              </w:rPr>
            </w:pPr>
            <w:r>
              <w:rPr>
                <w:rFonts w:hint="eastAsia" w:ascii="宋体" w:hAnsi="宋体" w:eastAsia="宋体" w:cs="宋体"/>
                <w:sz w:val="21"/>
                <w:szCs w:val="21"/>
              </w:rPr>
              <w:t>报告上级：   □报告及时   □联系不上     ☑未涉及</w:t>
            </w:r>
          </w:p>
          <w:p w14:paraId="61DF1071">
            <w:pPr>
              <w:spacing w:line="360" w:lineRule="auto"/>
              <w:rPr>
                <w:rFonts w:hint="eastAsia" w:ascii="宋体" w:hAnsi="宋体" w:eastAsia="宋体" w:cs="宋体"/>
                <w:sz w:val="21"/>
                <w:szCs w:val="21"/>
              </w:rPr>
            </w:pPr>
            <w:r>
              <w:rPr>
                <w:rFonts w:hint="eastAsia" w:ascii="宋体" w:hAnsi="宋体" w:eastAsia="宋体" w:cs="宋体"/>
                <w:sz w:val="21"/>
                <w:szCs w:val="21"/>
              </w:rPr>
              <w:t>消防部门：    □按要求协作  □行动迟缓   ☑未涉及</w:t>
            </w:r>
          </w:p>
          <w:p w14:paraId="5BCA2721">
            <w:pPr>
              <w:spacing w:line="360" w:lineRule="auto"/>
              <w:rPr>
                <w:rFonts w:hint="eastAsia" w:ascii="宋体" w:hAnsi="宋体" w:eastAsia="宋体" w:cs="宋体"/>
                <w:sz w:val="21"/>
                <w:szCs w:val="21"/>
              </w:rPr>
            </w:pPr>
            <w:r>
              <w:rPr>
                <w:rFonts w:hint="eastAsia" w:ascii="宋体" w:hAnsi="宋体" w:eastAsia="宋体" w:cs="宋体"/>
                <w:sz w:val="21"/>
                <w:szCs w:val="21"/>
              </w:rPr>
              <w:t>医疗救援部门：□按要求协作 □行动迟缓    ☑未涉及</w:t>
            </w:r>
          </w:p>
          <w:p w14:paraId="0117088E">
            <w:pPr>
              <w:spacing w:line="360" w:lineRule="auto"/>
              <w:rPr>
                <w:rFonts w:hint="eastAsia" w:ascii="宋体" w:hAnsi="宋体" w:eastAsia="宋体" w:cs="宋体"/>
                <w:sz w:val="21"/>
                <w:szCs w:val="21"/>
              </w:rPr>
            </w:pPr>
            <w:r>
              <w:rPr>
                <w:rFonts w:hint="eastAsia" w:ascii="宋体" w:hAnsi="宋体" w:eastAsia="宋体" w:cs="宋体"/>
                <w:sz w:val="21"/>
                <w:szCs w:val="21"/>
              </w:rPr>
              <w:t>周边政府撤离配合：□按要求配合  □不配合  ☑未涉及</w:t>
            </w:r>
          </w:p>
        </w:tc>
      </w:tr>
      <w:tr w14:paraId="19DA5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7" w:hRule="atLeast"/>
          <w:jc w:val="center"/>
        </w:trPr>
        <w:tc>
          <w:tcPr>
            <w:tcW w:w="1838" w:type="dxa"/>
            <w:gridSpan w:val="2"/>
            <w:vAlign w:val="center"/>
          </w:tcPr>
          <w:p w14:paraId="5F45DE0B">
            <w:pPr>
              <w:spacing w:line="360" w:lineRule="auto"/>
              <w:rPr>
                <w:rFonts w:hint="eastAsia" w:ascii="宋体" w:hAnsi="宋体" w:eastAsia="宋体" w:cs="宋体"/>
                <w:bCs/>
                <w:sz w:val="21"/>
                <w:szCs w:val="21"/>
              </w:rPr>
            </w:pPr>
            <w:r>
              <w:rPr>
                <w:rFonts w:hint="eastAsia" w:ascii="宋体" w:hAnsi="宋体" w:eastAsia="宋体" w:cs="宋体"/>
                <w:bCs/>
                <w:sz w:val="21"/>
                <w:szCs w:val="21"/>
              </w:rPr>
              <w:t>存在问题和</w:t>
            </w:r>
          </w:p>
          <w:p w14:paraId="37AD592A">
            <w:pPr>
              <w:spacing w:line="360" w:lineRule="auto"/>
              <w:rPr>
                <w:rFonts w:hint="eastAsia" w:ascii="宋体" w:hAnsi="宋体" w:eastAsia="宋体" w:cs="宋体"/>
                <w:bCs/>
                <w:sz w:val="21"/>
                <w:szCs w:val="21"/>
              </w:rPr>
            </w:pPr>
            <w:r>
              <w:rPr>
                <w:rFonts w:hint="eastAsia" w:ascii="宋体" w:hAnsi="宋体" w:eastAsia="宋体" w:cs="宋体"/>
                <w:bCs/>
                <w:sz w:val="21"/>
                <w:szCs w:val="21"/>
              </w:rPr>
              <w:t>改进措施</w:t>
            </w:r>
          </w:p>
        </w:tc>
        <w:tc>
          <w:tcPr>
            <w:tcW w:w="7615" w:type="dxa"/>
            <w:gridSpan w:val="9"/>
          </w:tcPr>
          <w:p w14:paraId="598E535D">
            <w:pPr>
              <w:spacing w:line="360" w:lineRule="auto"/>
              <w:rPr>
                <w:rFonts w:hint="eastAsia" w:ascii="宋体" w:hAnsi="宋体" w:eastAsia="宋体" w:cs="宋体"/>
                <w:sz w:val="21"/>
                <w:szCs w:val="21"/>
              </w:rPr>
            </w:pPr>
            <w:r>
              <w:rPr>
                <w:rFonts w:hint="eastAsia" w:ascii="宋体" w:hAnsi="宋体" w:eastAsia="宋体" w:cs="宋体"/>
                <w:sz w:val="21"/>
                <w:szCs w:val="21"/>
              </w:rPr>
              <w:t>加强应急培训、加强学习、多演练、提高应急意识。</w:t>
            </w:r>
          </w:p>
        </w:tc>
      </w:tr>
    </w:tbl>
    <w:p w14:paraId="5AC732E7">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记录人： </w:t>
      </w:r>
      <w:r>
        <w:rPr>
          <w:rFonts w:hint="eastAsia" w:ascii="宋体" w:hAnsi="宋体" w:eastAsia="宋体" w:cs="宋体"/>
          <w:sz w:val="21"/>
          <w:szCs w:val="21"/>
          <w:lang w:eastAsia="zh-CN"/>
        </w:rPr>
        <w:t>王义刚</w:t>
      </w:r>
      <w:r>
        <w:rPr>
          <w:rFonts w:hint="eastAsia" w:ascii="宋体" w:hAnsi="宋体" w:eastAsia="宋体" w:cs="宋体"/>
          <w:sz w:val="21"/>
          <w:szCs w:val="21"/>
        </w:rPr>
        <w:t xml:space="preserve">     评审负责人：赵传立        日期：202</w:t>
      </w:r>
      <w:r>
        <w:rPr>
          <w:rFonts w:hint="eastAsia" w:ascii="宋体" w:hAnsi="宋体" w:eastAsia="宋体" w:cs="宋体"/>
          <w:sz w:val="21"/>
          <w:szCs w:val="21"/>
          <w:lang w:val="en-US" w:eastAsia="zh-CN"/>
        </w:rPr>
        <w:t>5</w:t>
      </w:r>
      <w:r>
        <w:rPr>
          <w:rFonts w:hint="eastAsia" w:ascii="宋体" w:hAnsi="宋体" w:eastAsia="宋体" w:cs="宋体"/>
          <w:sz w:val="21"/>
          <w:szCs w:val="21"/>
        </w:rPr>
        <w:t>年</w:t>
      </w:r>
      <w:r>
        <w:rPr>
          <w:rFonts w:hint="eastAsia" w:ascii="宋体" w:hAnsi="宋体" w:eastAsia="宋体" w:cs="宋体"/>
          <w:sz w:val="21"/>
          <w:szCs w:val="21"/>
          <w:lang w:val="en-US" w:eastAsia="zh-CN"/>
        </w:rPr>
        <w:t>5</w:t>
      </w:r>
      <w:r>
        <w:rPr>
          <w:rFonts w:hint="eastAsia" w:ascii="宋体" w:hAnsi="宋体" w:eastAsia="宋体" w:cs="宋体"/>
          <w:sz w:val="21"/>
          <w:szCs w:val="21"/>
        </w:rPr>
        <w:t>月</w:t>
      </w:r>
      <w:r>
        <w:rPr>
          <w:rFonts w:hint="eastAsia" w:ascii="宋体" w:hAnsi="宋体" w:eastAsia="宋体" w:cs="宋体"/>
          <w:sz w:val="21"/>
          <w:szCs w:val="21"/>
          <w:lang w:val="en-US" w:eastAsia="zh-CN"/>
        </w:rPr>
        <w:t>29</w:t>
      </w:r>
      <w:r>
        <w:rPr>
          <w:rFonts w:hint="eastAsia" w:ascii="宋体" w:hAnsi="宋体" w:eastAsia="宋体" w:cs="宋体"/>
          <w:sz w:val="21"/>
          <w:szCs w:val="21"/>
        </w:rPr>
        <w:t>日</w:t>
      </w:r>
    </w:p>
    <w:p w14:paraId="186B4870">
      <w:pPr>
        <w:spacing w:line="360" w:lineRule="auto"/>
        <w:rPr>
          <w:rFonts w:hint="eastAsia" w:ascii="宋体" w:hAnsi="宋体" w:eastAsia="宋体" w:cs="宋体"/>
          <w:sz w:val="21"/>
          <w:szCs w:val="21"/>
        </w:rPr>
      </w:pPr>
    </w:p>
    <w:p w14:paraId="6318AF87">
      <w:pPr>
        <w:spacing w:line="360" w:lineRule="auto"/>
        <w:rPr>
          <w:rFonts w:hint="eastAsia" w:ascii="宋体" w:hAnsi="宋体" w:eastAsia="宋体" w:cs="宋体"/>
          <w:sz w:val="21"/>
          <w:szCs w:val="21"/>
        </w:rPr>
      </w:pPr>
    </w:p>
    <w:p w14:paraId="5D9BD394">
      <w:pPr>
        <w:spacing w:line="360" w:lineRule="auto"/>
        <w:rPr>
          <w:rFonts w:hint="eastAsia" w:ascii="宋体" w:hAnsi="宋体" w:eastAsia="宋体" w:cs="宋体"/>
          <w:sz w:val="21"/>
          <w:szCs w:val="21"/>
        </w:rPr>
      </w:pPr>
    </w:p>
    <w:p w14:paraId="023290E2">
      <w:pPr>
        <w:spacing w:line="360" w:lineRule="auto"/>
        <w:rPr>
          <w:rFonts w:hint="eastAsia" w:ascii="宋体" w:hAnsi="宋体" w:eastAsia="宋体" w:cs="宋体"/>
          <w:sz w:val="21"/>
          <w:szCs w:val="21"/>
        </w:rPr>
      </w:pPr>
    </w:p>
    <w:p w14:paraId="42183626">
      <w:pPr>
        <w:spacing w:line="360" w:lineRule="auto"/>
        <w:rPr>
          <w:rFonts w:hint="eastAsia" w:ascii="宋体" w:hAnsi="宋体" w:eastAsia="宋体" w:cs="宋体"/>
          <w:sz w:val="21"/>
          <w:szCs w:val="21"/>
        </w:rPr>
      </w:pPr>
    </w:p>
    <w:p w14:paraId="5F11C3F0">
      <w:pPr>
        <w:spacing w:line="360" w:lineRule="auto"/>
        <w:rPr>
          <w:rFonts w:hint="eastAsia" w:ascii="宋体" w:hAnsi="宋体" w:eastAsia="宋体" w:cs="宋体"/>
          <w:sz w:val="21"/>
          <w:szCs w:val="21"/>
        </w:rPr>
      </w:pPr>
    </w:p>
    <w:p w14:paraId="294CD96E">
      <w:pPr>
        <w:spacing w:line="360" w:lineRule="auto"/>
        <w:rPr>
          <w:rFonts w:hint="eastAsia" w:ascii="宋体" w:hAnsi="宋体" w:eastAsia="宋体" w:cs="宋体"/>
          <w:sz w:val="21"/>
          <w:szCs w:val="21"/>
        </w:rPr>
      </w:pPr>
    </w:p>
    <w:p w14:paraId="42EFE7C1">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240" w:lineRule="auto"/>
        <w:ind w:firstLine="600" w:firstLineChars="200"/>
        <w:textAlignment w:val="auto"/>
        <w:rPr>
          <w:rFonts w:hint="eastAsia" w:ascii="宋体" w:hAnsi="宋体" w:eastAsia="宋体" w:cs="宋体"/>
          <w:sz w:val="30"/>
          <w:szCs w:val="30"/>
          <w:lang w:eastAsia="zh-CN"/>
        </w:rPr>
      </w:pPr>
      <w:r>
        <w:rPr>
          <w:rFonts w:hint="eastAsia" w:ascii="宋体" w:hAnsi="宋体" w:eastAsia="宋体" w:cs="宋体"/>
          <w:kern w:val="2"/>
          <w:sz w:val="30"/>
          <w:szCs w:val="30"/>
          <w:lang w:val="en-US" w:eastAsia="zh-CN" w:bidi="ar-SA"/>
        </w:rPr>
        <w:t>（二）</w:t>
      </w:r>
      <w:r>
        <w:rPr>
          <w:rFonts w:hint="eastAsia" w:ascii="宋体" w:hAnsi="宋体" w:eastAsia="宋体" w:cs="宋体"/>
          <w:sz w:val="30"/>
          <w:szCs w:val="30"/>
          <w:lang w:eastAsia="zh-CN"/>
        </w:rPr>
        <w:t>防渗、防腐、防流失、防扬散等防控措施落实情况</w:t>
      </w:r>
    </w:p>
    <w:p w14:paraId="6E540305">
      <w:pPr>
        <w:keepNext w:val="0"/>
        <w:keepLines w:val="0"/>
        <w:pageBreakBefore w:val="0"/>
        <w:widowControl w:val="0"/>
        <w:numPr>
          <w:numId w:val="0"/>
        </w:numPr>
        <w:kinsoku/>
        <w:wordWrap/>
        <w:overflowPunct/>
        <w:topLinePunct w:val="0"/>
        <w:autoSpaceDE/>
        <w:autoSpaceDN/>
        <w:bidi w:val="0"/>
        <w:adjustRightInd/>
        <w:snapToGrid/>
        <w:spacing w:beforeAutospacing="0" w:afterAutospacing="0" w:line="240" w:lineRule="auto"/>
        <w:ind w:firstLine="600" w:firstLineChars="200"/>
        <w:textAlignment w:val="auto"/>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1.</w:t>
      </w:r>
      <w:r>
        <w:rPr>
          <w:rFonts w:hint="eastAsia" w:ascii="宋体" w:hAnsi="宋体" w:eastAsia="宋体" w:cs="宋体"/>
          <w:sz w:val="30"/>
          <w:szCs w:val="30"/>
          <w:lang w:val="en-US" w:eastAsia="zh-CN"/>
        </w:rPr>
        <w:t>储罐区域设置防腐防渗围堰，整体做环氧树脂防腐+HDPE防渗处理，设置应急事故池。</w:t>
      </w:r>
    </w:p>
    <w:p w14:paraId="44DC160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2.硼泥堆场配套防雨封闭顶棚、截水沟、渗滤液收集池。</w:t>
      </w:r>
    </w:p>
    <w:p w14:paraId="30BD45A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3.危废暂存间构筑渗滤液收集池。</w:t>
      </w:r>
    </w:p>
    <w:p w14:paraId="0E82BEB3">
      <w:pPr>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firstLine="600" w:firstLineChars="200"/>
        <w:textAlignment w:val="auto"/>
        <w:rPr>
          <w:rFonts w:hint="default" w:ascii="宋体" w:hAnsi="宋体" w:eastAsia="宋体" w:cs="宋体"/>
          <w:sz w:val="30"/>
          <w:szCs w:val="30"/>
          <w:lang w:val="en-US" w:eastAsia="zh-CN"/>
        </w:rPr>
      </w:pPr>
      <w:r>
        <w:rPr>
          <w:rFonts w:hint="eastAsia" w:ascii="宋体" w:hAnsi="宋体" w:eastAsia="宋体" w:cs="宋体"/>
          <w:sz w:val="30"/>
          <w:szCs w:val="30"/>
          <w:lang w:val="en-US" w:eastAsia="zh-CN"/>
        </w:rPr>
        <w:t>4.露天堆放原料全部进行苫盖。</w:t>
      </w:r>
      <w:bookmarkStart w:id="14" w:name="_GoBack"/>
      <w:bookmarkEnd w:id="14"/>
    </w:p>
    <w:p w14:paraId="5537C49C">
      <w:pPr>
        <w:keepNext w:val="0"/>
        <w:keepLines w:val="0"/>
        <w:pageBreakBefore w:val="0"/>
        <w:widowControl w:val="0"/>
        <w:numPr>
          <w:numId w:val="0"/>
        </w:numPr>
        <w:kinsoku/>
        <w:wordWrap/>
        <w:overflowPunct/>
        <w:topLinePunct w:val="0"/>
        <w:autoSpaceDE/>
        <w:autoSpaceDN/>
        <w:bidi w:val="0"/>
        <w:adjustRightInd/>
        <w:snapToGrid/>
        <w:spacing w:beforeAutospacing="0" w:afterAutospacing="0" w:line="240" w:lineRule="auto"/>
        <w:ind w:firstLine="600" w:firstLineChars="200"/>
        <w:textAlignment w:val="auto"/>
        <w:rPr>
          <w:rFonts w:hint="default" w:ascii="宋体" w:hAnsi="宋体" w:eastAsia="宋体" w:cs="宋体"/>
          <w:sz w:val="30"/>
          <w:szCs w:val="30"/>
          <w:lang w:val="en-US" w:eastAsia="zh-CN"/>
        </w:rPr>
      </w:pPr>
    </w:p>
    <w:p w14:paraId="19DE76C7">
      <w:pPr>
        <w:numPr>
          <w:ilvl w:val="0"/>
          <w:numId w:val="0"/>
        </w:numPr>
        <w:spacing w:line="360" w:lineRule="auto"/>
        <w:ind w:left="596" w:leftChars="284" w:firstLine="0" w:firstLineChars="0"/>
        <w:rPr>
          <w:rFonts w:hint="default" w:ascii="宋体" w:hAnsi="宋体" w:eastAsia="宋体" w:cs="宋体"/>
          <w:sz w:val="30"/>
          <w:szCs w:val="30"/>
          <w:lang w:val="en-US" w:eastAsia="zh-CN"/>
        </w:rPr>
      </w:pPr>
    </w:p>
    <w:p w14:paraId="248CCC6C">
      <w:pPr>
        <w:numPr>
          <w:numId w:val="0"/>
        </w:numPr>
        <w:spacing w:line="360" w:lineRule="auto"/>
        <w:ind w:leftChars="200"/>
        <w:rPr>
          <w:rFonts w:hint="eastAsia" w:ascii="宋体" w:hAnsi="宋体" w:eastAsia="宋体" w:cs="宋体"/>
          <w:sz w:val="30"/>
          <w:szCs w:val="30"/>
          <w:lang w:eastAsia="zh-CN"/>
        </w:rPr>
      </w:pPr>
    </w:p>
    <w:p w14:paraId="38B991B1">
      <w:pPr>
        <w:widowControl w:val="0"/>
        <w:numPr>
          <w:ilvl w:val="0"/>
          <w:numId w:val="0"/>
        </w:numPr>
        <w:jc w:val="both"/>
        <w:rPr>
          <w:rFonts w:hint="eastAsia" w:ascii="宋体" w:hAnsi="宋体" w:eastAsia="宋体" w:cs="宋体"/>
          <w:sz w:val="30"/>
          <w:szCs w:val="30"/>
          <w:lang w:val="en-US" w:eastAsia="zh-CN"/>
        </w:rPr>
      </w:pPr>
    </w:p>
    <w:p w14:paraId="4BB9804C">
      <w:pPr>
        <w:widowControl w:val="0"/>
        <w:numPr>
          <w:numId w:val="0"/>
        </w:numPr>
        <w:jc w:val="both"/>
        <w:rPr>
          <w:rFonts w:hint="eastAsia" w:ascii="宋体" w:hAnsi="宋体" w:eastAsia="宋体" w:cs="宋体"/>
          <w:sz w:val="30"/>
          <w:szCs w:val="30"/>
          <w:lang w:val="en-US" w:eastAsia="zh-CN"/>
        </w:rPr>
      </w:pPr>
    </w:p>
    <w:p w14:paraId="7CF864F7">
      <w:pPr>
        <w:widowControl w:val="0"/>
        <w:numPr>
          <w:numId w:val="0"/>
        </w:numPr>
        <w:jc w:val="both"/>
        <w:rPr>
          <w:rFonts w:hint="default" w:ascii="宋体" w:hAnsi="宋体" w:eastAsia="宋体" w:cs="宋体"/>
          <w:sz w:val="30"/>
          <w:szCs w:val="30"/>
          <w:lang w:val="en-US" w:eastAsia="zh-CN"/>
        </w:rPr>
      </w:pPr>
    </w:p>
    <w:sectPr>
      <w:pgSz w:w="11906" w:h="16838"/>
      <w:pgMar w:top="1440" w:right="1746" w:bottom="1440" w:left="1800" w:header="851" w:footer="992" w:gutter="0"/>
      <w:paperSrc/>
      <w:cols w:space="0" w:num="1"/>
      <w:rtlGutter w:val="0"/>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8229E6">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0CD62B">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00CD62B">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38B7A72"/>
    <w:multiLevelType w:val="singleLevel"/>
    <w:tmpl w:val="E38B7A72"/>
    <w:lvl w:ilvl="0" w:tentative="0">
      <w:start w:val="1"/>
      <w:numFmt w:val="chineseCounting"/>
      <w:suff w:val="nothing"/>
      <w:lvlText w:val="（%1）"/>
      <w:lvlJc w:val="left"/>
      <w:rPr>
        <w:rFonts w:hint="eastAsia"/>
      </w:rPr>
    </w:lvl>
  </w:abstractNum>
  <w:abstractNum w:abstractNumId="1">
    <w:nsid w:val="EE14D069"/>
    <w:multiLevelType w:val="singleLevel"/>
    <w:tmpl w:val="EE14D069"/>
    <w:lvl w:ilvl="0" w:tentative="0">
      <w:start w:val="6"/>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21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DD658B"/>
    <w:rsid w:val="0A2825E1"/>
    <w:rsid w:val="0C230DF6"/>
    <w:rsid w:val="11537A88"/>
    <w:rsid w:val="15597637"/>
    <w:rsid w:val="185317A5"/>
    <w:rsid w:val="1B903686"/>
    <w:rsid w:val="1D464F43"/>
    <w:rsid w:val="1FFB0DAC"/>
    <w:rsid w:val="21EC37E0"/>
    <w:rsid w:val="2F173FDE"/>
    <w:rsid w:val="2F7C5FA4"/>
    <w:rsid w:val="33923FE8"/>
    <w:rsid w:val="36987B67"/>
    <w:rsid w:val="36BD75CE"/>
    <w:rsid w:val="3DF00555"/>
    <w:rsid w:val="500B2721"/>
    <w:rsid w:val="51673680"/>
    <w:rsid w:val="58572EAB"/>
    <w:rsid w:val="61D80978"/>
    <w:rsid w:val="6760172C"/>
    <w:rsid w:val="70893AA1"/>
    <w:rsid w:val="749066B5"/>
    <w:rsid w:val="75B05A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qFormat/>
    <w:uiPriority w:val="0"/>
    <w:pPr>
      <w:keepNext/>
      <w:keepLines/>
      <w:spacing w:before="260" w:beforeLines="0" w:beforeAutospacing="0" w:after="260" w:afterLines="0" w:afterAutospacing="0" w:line="413" w:lineRule="auto"/>
      <w:outlineLvl w:val="2"/>
    </w:pPr>
    <w:rPr>
      <w:rFonts w:ascii="Times New Roman" w:hAnsi="Times New Roman"/>
      <w:b/>
      <w:kern w:val="0"/>
      <w:sz w:val="32"/>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7">
    <w:name w:val="正文_11"/>
    <w:qFormat/>
    <w:uiPriority w:val="0"/>
    <w:pPr>
      <w:widowControl w:val="0"/>
      <w:jc w:val="both"/>
    </w:pPr>
    <w:rPr>
      <w:rFonts w:ascii="Calibri" w:hAnsi="Calibri" w:eastAsia="宋体" w:cs="Times New Roman"/>
      <w:kern w:val="2"/>
      <w:sz w:val="21"/>
      <w:lang w:val="en-US" w:eastAsia="zh-CN" w:bidi="ar-SA"/>
    </w:rPr>
  </w:style>
  <w:style w:type="paragraph" w:customStyle="1" w:styleId="8">
    <w:name w:val="正文_45"/>
    <w:qFormat/>
    <w:uiPriority w:val="0"/>
    <w:pPr>
      <w:widowControl w:val="0"/>
      <w:jc w:val="both"/>
    </w:pPr>
    <w:rPr>
      <w:rFonts w:ascii="Calibri" w:hAnsi="Calibri" w:eastAsia="宋体" w:cs="Times New Roman"/>
      <w:kern w:val="2"/>
      <w:sz w:val="21"/>
      <w:lang w:val="en-US" w:eastAsia="zh-CN" w:bidi="ar-SA"/>
    </w:rPr>
  </w:style>
  <w:style w:type="paragraph" w:customStyle="1" w:styleId="9">
    <w:name w:val="正文_12"/>
    <w:qFormat/>
    <w:uiPriority w:val="0"/>
    <w:pPr>
      <w:widowControl w:val="0"/>
      <w:jc w:val="both"/>
    </w:pPr>
    <w:rPr>
      <w:rFonts w:ascii="Calibri" w:hAnsi="Calibri" w:eastAsia="宋体" w:cs="Times New Roman"/>
      <w:kern w:val="2"/>
      <w:sz w:val="21"/>
      <w:lang w:val="en-US" w:eastAsia="zh-CN" w:bidi="ar-SA"/>
    </w:rPr>
  </w:style>
  <w:style w:type="paragraph" w:customStyle="1" w:styleId="10">
    <w:name w:val="正文_13"/>
    <w:qFormat/>
    <w:uiPriority w:val="0"/>
    <w:pPr>
      <w:widowControl w:val="0"/>
      <w:jc w:val="both"/>
    </w:pPr>
    <w:rPr>
      <w:rFonts w:ascii="Calibri" w:hAnsi="Calibri" w:eastAsia="宋体" w:cs="Times New Roman"/>
      <w:kern w:val="2"/>
      <w:sz w:val="21"/>
      <w:lang w:val="en-US" w:eastAsia="zh-CN" w:bidi="ar-SA"/>
    </w:rPr>
  </w:style>
  <w:style w:type="paragraph" w:customStyle="1" w:styleId="11">
    <w:name w:val="正文_14"/>
    <w:qFormat/>
    <w:uiPriority w:val="0"/>
    <w:pPr>
      <w:widowControl w:val="0"/>
      <w:jc w:val="both"/>
    </w:pPr>
    <w:rPr>
      <w:rFonts w:ascii="Calibri" w:hAnsi="Calibri" w:eastAsia="宋体" w:cs="Times New Roman"/>
      <w:kern w:val="2"/>
      <w:sz w:val="21"/>
      <w:lang w:val="en-US" w:eastAsia="zh-CN" w:bidi="ar-SA"/>
    </w:rPr>
  </w:style>
  <w:style w:type="paragraph" w:customStyle="1" w:styleId="12">
    <w:name w:val="正文_19"/>
    <w:qFormat/>
    <w:uiPriority w:val="0"/>
    <w:pPr>
      <w:widowControl w:val="0"/>
      <w:jc w:val="both"/>
    </w:pPr>
    <w:rPr>
      <w:rFonts w:ascii="Calibri" w:hAnsi="Calibri" w:eastAsia="宋体" w:cs="Times New Roman"/>
      <w:kern w:val="2"/>
      <w:sz w:val="21"/>
      <w:lang w:val="en-US" w:eastAsia="zh-CN" w:bidi="ar-SA"/>
    </w:rPr>
  </w:style>
  <w:style w:type="paragraph" w:customStyle="1" w:styleId="13">
    <w:name w:val="正文_18"/>
    <w:qFormat/>
    <w:uiPriority w:val="0"/>
    <w:pPr>
      <w:widowControl w:val="0"/>
      <w:jc w:val="both"/>
    </w:pPr>
    <w:rPr>
      <w:rFonts w:ascii="Calibri" w:hAnsi="Calibri" w:eastAsia="宋体" w:cs="Times New Roman"/>
      <w:kern w:val="2"/>
      <w:sz w:val="21"/>
      <w:lang w:val="en-US" w:eastAsia="zh-CN" w:bidi="ar-SA"/>
    </w:rPr>
  </w:style>
  <w:style w:type="paragraph" w:customStyle="1" w:styleId="14">
    <w:name w:val="正文_17"/>
    <w:qFormat/>
    <w:uiPriority w:val="0"/>
    <w:pPr>
      <w:widowControl w:val="0"/>
      <w:jc w:val="both"/>
    </w:pPr>
    <w:rPr>
      <w:rFonts w:ascii="Calibri" w:hAnsi="Calibri" w:eastAsia="宋体" w:cs="Times New Roman"/>
      <w:kern w:val="2"/>
      <w:sz w:val="21"/>
      <w:lang w:val="en-US" w:eastAsia="zh-CN" w:bidi="ar-SA"/>
    </w:rPr>
  </w:style>
  <w:style w:type="paragraph" w:customStyle="1" w:styleId="15">
    <w:name w:val="正文_16"/>
    <w:qFormat/>
    <w:uiPriority w:val="0"/>
    <w:pPr>
      <w:widowControl w:val="0"/>
      <w:jc w:val="both"/>
    </w:pPr>
    <w:rPr>
      <w:rFonts w:ascii="Calibri" w:hAnsi="Calibri" w:eastAsia="宋体" w:cs="Times New Roman"/>
      <w:kern w:val="2"/>
      <w:sz w:val="21"/>
      <w:lang w:val="en-US" w:eastAsia="zh-CN" w:bidi="ar-SA"/>
    </w:rPr>
  </w:style>
  <w:style w:type="paragraph" w:customStyle="1" w:styleId="16">
    <w:name w:val="正文_15"/>
    <w:qFormat/>
    <w:uiPriority w:val="0"/>
    <w:pPr>
      <w:widowControl w:val="0"/>
      <w:jc w:val="both"/>
    </w:pPr>
    <w:rPr>
      <w:rFonts w:ascii="Calibri" w:hAnsi="Calibri"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99</Pages>
  <Words>1950</Words>
  <Characters>2058</Characters>
  <Lines>0</Lines>
  <Paragraphs>0</Paragraphs>
  <TotalTime>20</TotalTime>
  <ScaleCrop>false</ScaleCrop>
  <LinksUpToDate>false</LinksUpToDate>
  <CharactersWithSpaces>2080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2026-05-12T08:00:00Z</dcterms:created>
  <dc:creator>Administrator</dc:creator>
  <cp:lastModifiedBy>小山羊</cp:lastModifiedBy>
  <dcterms:modified xsi:type="dcterms:W3CDTF">2026-06-06T09:20:19Z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KSOTemplateDocerSaveRecord">
    <vt:lpwstr>eyJoZGlkIjoiYjkwMzk4OGJjN2QzODE3ZTEzZmMzMzNlMDkxMjA4YmYiLCJ1c2VySWQiOiI0OTg5NjkyMTQifQ==</vt:lpwstr>
  </property>
  <property fmtid="{D5CDD505-2E9C-101B-9397-08002B2CF9AE}" pid="4" name="ICV">
    <vt:lpwstr>26715AE8FEFA4CFEBCFA552183FE525B_12</vt:lpwstr>
  </property>
</Properties>
</file>